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1626" w14:textId="27D8295C" w:rsidR="00BE188C" w:rsidRPr="008B13D7" w:rsidRDefault="00BE188C" w:rsidP="00BE188C">
      <w:pPr>
        <w:pStyle w:val="Heading1"/>
        <w:spacing w:before="0" w:after="0" w:line="240" w:lineRule="auto"/>
        <w:jc w:val="center"/>
        <w:rPr>
          <w:rFonts w:ascii="Arial" w:hAnsi="Arial" w:cs="Arial"/>
          <w:b/>
          <w:bCs/>
        </w:rPr>
      </w:pPr>
      <w:bookmarkStart w:id="0" w:name="_Toc400361362"/>
      <w:bookmarkStart w:id="1" w:name="_Toc443397153"/>
      <w:r w:rsidRPr="008B13D7">
        <w:rPr>
          <w:rFonts w:ascii="Arial" w:hAnsi="Arial" w:cs="Arial"/>
          <w:b/>
          <w:bCs/>
        </w:rPr>
        <w:t>Pupil Premium Strategy Statement</w:t>
      </w:r>
      <w:bookmarkEnd w:id="0"/>
      <w:bookmarkEnd w:id="1"/>
    </w:p>
    <w:p w14:paraId="38303D28" w14:textId="1AC4C39B" w:rsidR="00BE188C" w:rsidRPr="008B13D7" w:rsidRDefault="00BE188C" w:rsidP="00BE188C">
      <w:pPr>
        <w:pStyle w:val="Heading1"/>
        <w:spacing w:before="0" w:after="0" w:line="240" w:lineRule="auto"/>
        <w:jc w:val="center"/>
        <w:rPr>
          <w:rFonts w:ascii="Arial" w:hAnsi="Arial" w:cs="Arial"/>
          <w:b/>
          <w:bCs/>
        </w:rPr>
      </w:pPr>
      <w:r w:rsidRPr="008B13D7">
        <w:rPr>
          <w:rFonts w:ascii="Arial" w:hAnsi="Arial" w:cs="Arial"/>
          <w:b/>
          <w:bCs/>
        </w:rPr>
        <w:t>St Matthew’s CE (Aided) Primary School</w:t>
      </w:r>
    </w:p>
    <w:p w14:paraId="5BA5FE86" w14:textId="17D0269D" w:rsidR="00BE188C" w:rsidRDefault="00BE188C" w:rsidP="00BE188C">
      <w:pPr>
        <w:spacing w:after="0" w:line="240" w:lineRule="auto"/>
        <w:rPr>
          <w:lang w:eastAsia="en-US"/>
        </w:rPr>
      </w:pPr>
      <w:r w:rsidRPr="001F17AB">
        <w:rPr>
          <w:rFonts w:ascii="Sassoon Infant Std" w:hAnsi="Sassoon Infant Std"/>
          <w:noProof/>
        </w:rPr>
        <w:drawing>
          <wp:anchor distT="36576" distB="36576" distL="36576" distR="36576" simplePos="0" relativeHeight="251658240" behindDoc="0" locked="0" layoutInCell="1" allowOverlap="1" wp14:anchorId="4F4B6CEA" wp14:editId="509F6CA0">
            <wp:simplePos x="0" y="0"/>
            <wp:positionH relativeFrom="margin">
              <wp:posOffset>2923309</wp:posOffset>
            </wp:positionH>
            <wp:positionV relativeFrom="paragraph">
              <wp:posOffset>65405</wp:posOffset>
            </wp:positionV>
            <wp:extent cx="872836" cy="872836"/>
            <wp:effectExtent l="0" t="0" r="3810" b="3810"/>
            <wp:wrapNone/>
            <wp:docPr id="27" name="Picture 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99" cy="87699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7FCBB36" w14:textId="621697F3" w:rsidR="00BE188C" w:rsidRDefault="00BE188C" w:rsidP="00BE188C">
      <w:pPr>
        <w:spacing w:after="0" w:line="240" w:lineRule="auto"/>
        <w:rPr>
          <w:lang w:eastAsia="en-US"/>
        </w:rPr>
      </w:pPr>
    </w:p>
    <w:p w14:paraId="7844EB3C" w14:textId="77777777" w:rsidR="00BE188C" w:rsidRDefault="00BE188C" w:rsidP="00BE188C">
      <w:pPr>
        <w:spacing w:after="0" w:line="240" w:lineRule="auto"/>
        <w:rPr>
          <w:lang w:eastAsia="en-US"/>
        </w:rPr>
      </w:pPr>
    </w:p>
    <w:p w14:paraId="5970C54C" w14:textId="77777777" w:rsidR="00BE188C" w:rsidRDefault="00BE188C" w:rsidP="00BE188C">
      <w:pPr>
        <w:spacing w:after="0" w:line="240" w:lineRule="auto"/>
        <w:rPr>
          <w:lang w:eastAsia="en-US"/>
        </w:rPr>
      </w:pPr>
    </w:p>
    <w:p w14:paraId="3D169B77" w14:textId="77777777" w:rsidR="00BE188C" w:rsidRPr="00BE188C" w:rsidRDefault="00BE188C" w:rsidP="00BE188C">
      <w:pPr>
        <w:spacing w:after="0" w:line="240" w:lineRule="auto"/>
        <w:rPr>
          <w:lang w:eastAsia="en-US"/>
        </w:rPr>
      </w:pPr>
    </w:p>
    <w:p w14:paraId="1C8BF073" w14:textId="77777777" w:rsidR="00BE188C" w:rsidRDefault="00BE188C" w:rsidP="00BE188C">
      <w:pPr>
        <w:spacing w:after="0" w:line="240" w:lineRule="auto"/>
        <w:jc w:val="center"/>
        <w:rPr>
          <w:i/>
          <w:iCs/>
          <w:color w:val="002060"/>
          <w:sz w:val="20"/>
          <w:szCs w:val="20"/>
        </w:rPr>
      </w:pPr>
    </w:p>
    <w:p w14:paraId="2DA6FA41" w14:textId="42784F6D" w:rsidR="00BE188C" w:rsidRPr="00BE188C" w:rsidRDefault="00BE188C" w:rsidP="00BE188C">
      <w:pPr>
        <w:spacing w:after="0" w:line="240" w:lineRule="auto"/>
        <w:jc w:val="center"/>
        <w:rPr>
          <w:i/>
          <w:iCs/>
          <w:color w:val="002060"/>
          <w:sz w:val="20"/>
          <w:szCs w:val="20"/>
        </w:rPr>
      </w:pPr>
      <w:r w:rsidRPr="00BE188C">
        <w:rPr>
          <w:i/>
          <w:iCs/>
          <w:color w:val="002060"/>
          <w:sz w:val="20"/>
          <w:szCs w:val="20"/>
        </w:rPr>
        <w:t>Reviewed November 2025</w:t>
      </w:r>
    </w:p>
    <w:p w14:paraId="02437FF6" w14:textId="77777777" w:rsidR="00BE188C" w:rsidRDefault="00BE188C" w:rsidP="00BE188C">
      <w:pPr>
        <w:spacing w:after="0" w:line="240" w:lineRule="auto"/>
        <w:jc w:val="center"/>
        <w:rPr>
          <w:i/>
          <w:iCs/>
          <w:color w:val="002060"/>
        </w:rPr>
      </w:pPr>
    </w:p>
    <w:p w14:paraId="4C5B7E5E" w14:textId="77777777" w:rsidR="00BE188C" w:rsidRDefault="00BE188C" w:rsidP="00BE188C">
      <w:pPr>
        <w:spacing w:after="0" w:line="240" w:lineRule="auto"/>
        <w:rPr>
          <w:sz w:val="20"/>
          <w:szCs w:val="20"/>
        </w:rPr>
      </w:pPr>
      <w:r w:rsidRPr="00BE188C">
        <w:rPr>
          <w:sz w:val="20"/>
          <w:szCs w:val="20"/>
        </w:rPr>
        <w:t xml:space="preserve">This statement details our school’s use of pupil premium (and recovery premium) funding to help improve the attainment of our disadvantaged pupils. </w:t>
      </w:r>
    </w:p>
    <w:p w14:paraId="3644C411" w14:textId="77777777" w:rsidR="00BE188C" w:rsidRPr="00BE188C" w:rsidRDefault="00BE188C" w:rsidP="00BE188C">
      <w:pPr>
        <w:spacing w:after="0" w:line="240" w:lineRule="auto"/>
        <w:rPr>
          <w:b/>
          <w:sz w:val="20"/>
          <w:szCs w:val="20"/>
        </w:rPr>
      </w:pPr>
    </w:p>
    <w:p w14:paraId="6D0BBCA7" w14:textId="77777777" w:rsidR="00BE188C" w:rsidRPr="00BE188C" w:rsidRDefault="00BE188C" w:rsidP="00BE188C">
      <w:pPr>
        <w:spacing w:after="0" w:line="240" w:lineRule="auto"/>
        <w:rPr>
          <w:b/>
          <w:sz w:val="20"/>
          <w:szCs w:val="20"/>
        </w:rPr>
      </w:pPr>
      <w:r w:rsidRPr="00BE188C">
        <w:rPr>
          <w:sz w:val="20"/>
          <w:szCs w:val="20"/>
        </w:rPr>
        <w:t>It outlines our pupil premium strategy, how we intend to spend the funding in this academic year and the outcomes for disadvantaged pupils last academic year.</w:t>
      </w:r>
    </w:p>
    <w:p w14:paraId="55D1993F" w14:textId="77777777" w:rsidR="00BE188C" w:rsidRDefault="00BE188C" w:rsidP="00BE188C">
      <w:pPr>
        <w:spacing w:after="0" w:line="240" w:lineRule="auto"/>
        <w:rPr>
          <w:i/>
          <w:iCs/>
          <w:color w:val="002060"/>
        </w:rPr>
      </w:pPr>
    </w:p>
    <w:p w14:paraId="103351E7" w14:textId="281C1D2F" w:rsidR="00BE188C" w:rsidRPr="008B13D7" w:rsidRDefault="00BE188C" w:rsidP="00BE188C">
      <w:pPr>
        <w:pStyle w:val="Heading2"/>
        <w:spacing w:before="0" w:after="0" w:line="240" w:lineRule="auto"/>
        <w:rPr>
          <w:rFonts w:ascii="Arial" w:hAnsi="Arial" w:cs="Arial"/>
          <w:b/>
          <w:bCs/>
          <w:sz w:val="24"/>
          <w:szCs w:val="24"/>
        </w:rPr>
      </w:pPr>
      <w:r w:rsidRPr="008B13D7">
        <w:rPr>
          <w:rFonts w:ascii="Arial" w:hAnsi="Arial" w:cs="Arial"/>
          <w:b/>
          <w:bCs/>
          <w:sz w:val="24"/>
          <w:szCs w:val="24"/>
        </w:rPr>
        <w:t>School Overview</w:t>
      </w:r>
    </w:p>
    <w:tbl>
      <w:tblPr>
        <w:tblW w:w="5021" w:type="pct"/>
        <w:tblInd w:w="-5" w:type="dxa"/>
        <w:tblCellMar>
          <w:left w:w="10" w:type="dxa"/>
          <w:right w:w="10" w:type="dxa"/>
        </w:tblCellMar>
        <w:tblLook w:val="04A0" w:firstRow="1" w:lastRow="0" w:firstColumn="1" w:lastColumn="0" w:noHBand="0" w:noVBand="1"/>
      </w:tblPr>
      <w:tblGrid>
        <w:gridCol w:w="6859"/>
        <w:gridCol w:w="3641"/>
      </w:tblGrid>
      <w:tr w:rsidR="00BE188C" w14:paraId="4EC4E83F"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650E0BB" w14:textId="77777777" w:rsidR="00BE188C" w:rsidRPr="00BE188C" w:rsidRDefault="00BE188C" w:rsidP="00BE188C">
            <w:pPr>
              <w:pStyle w:val="TableHeader"/>
              <w:spacing w:before="0" w:after="0"/>
              <w:jc w:val="left"/>
              <w:rPr>
                <w:sz w:val="20"/>
                <w:szCs w:val="20"/>
              </w:rPr>
            </w:pPr>
            <w:r w:rsidRPr="00BE188C">
              <w:rPr>
                <w:sz w:val="20"/>
                <w:szCs w:val="20"/>
              </w:rPr>
              <w:t>Detail</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7CA1643" w14:textId="77777777" w:rsidR="00BE188C" w:rsidRPr="00BE188C" w:rsidRDefault="00BE188C" w:rsidP="00BE188C">
            <w:pPr>
              <w:pStyle w:val="TableHeader"/>
              <w:spacing w:before="0" w:after="0"/>
              <w:jc w:val="left"/>
              <w:rPr>
                <w:sz w:val="20"/>
                <w:szCs w:val="20"/>
              </w:rPr>
            </w:pPr>
            <w:r w:rsidRPr="00BE188C">
              <w:rPr>
                <w:sz w:val="20"/>
                <w:szCs w:val="20"/>
              </w:rPr>
              <w:t>Data</w:t>
            </w:r>
          </w:p>
        </w:tc>
      </w:tr>
      <w:tr w:rsidR="00BE188C" w14:paraId="4FC8F712"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EA5E8" w14:textId="77777777" w:rsidR="00BE188C" w:rsidRPr="00BE188C" w:rsidRDefault="00BE188C" w:rsidP="00BE188C">
            <w:pPr>
              <w:pStyle w:val="TableRow"/>
              <w:spacing w:before="0" w:after="0"/>
              <w:rPr>
                <w:sz w:val="20"/>
                <w:szCs w:val="20"/>
              </w:rPr>
            </w:pPr>
            <w:r w:rsidRPr="00BE188C">
              <w:rPr>
                <w:sz w:val="20"/>
                <w:szCs w:val="20"/>
              </w:rPr>
              <w:t xml:space="preserve">Number of pupils in school </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9A23" w14:textId="6A4619F9" w:rsidR="00BE188C" w:rsidRPr="00BE188C" w:rsidRDefault="00BE188C" w:rsidP="00BE188C">
            <w:pPr>
              <w:pStyle w:val="TableRow"/>
              <w:spacing w:before="0" w:after="0"/>
              <w:rPr>
                <w:sz w:val="20"/>
                <w:szCs w:val="20"/>
              </w:rPr>
            </w:pPr>
            <w:r w:rsidRPr="00BE188C">
              <w:rPr>
                <w:sz w:val="20"/>
                <w:szCs w:val="20"/>
              </w:rPr>
              <w:t>2</w:t>
            </w:r>
            <w:r w:rsidR="00106784">
              <w:rPr>
                <w:sz w:val="20"/>
                <w:szCs w:val="20"/>
              </w:rPr>
              <w:t>64</w:t>
            </w:r>
          </w:p>
        </w:tc>
      </w:tr>
      <w:tr w:rsidR="00BE188C" w14:paraId="25485220" w14:textId="77777777" w:rsidTr="00877E2B">
        <w:trPr>
          <w:trHeight w:val="4030"/>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B5CE1" w14:textId="77777777" w:rsidR="00BE188C" w:rsidRPr="00BE188C" w:rsidRDefault="00BE188C" w:rsidP="007C55BE">
            <w:pPr>
              <w:pStyle w:val="TableRow"/>
              <w:spacing w:before="0" w:after="0"/>
              <w:rPr>
                <w:sz w:val="20"/>
                <w:szCs w:val="20"/>
              </w:rPr>
            </w:pPr>
            <w:r w:rsidRPr="00BE188C">
              <w:rPr>
                <w:sz w:val="20"/>
                <w:szCs w:val="20"/>
              </w:rPr>
              <w:t>Proportion (%) of pupil premium eligible pupils</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720CC" w14:textId="77777777" w:rsidR="00BE188C" w:rsidRPr="00BE188C" w:rsidRDefault="00BE188C" w:rsidP="007C55BE">
            <w:pPr>
              <w:pStyle w:val="TableRow"/>
              <w:spacing w:before="0" w:after="0"/>
              <w:ind w:left="0"/>
              <w:rPr>
                <w:b/>
                <w:bCs/>
                <w:sz w:val="20"/>
                <w:szCs w:val="20"/>
              </w:rPr>
            </w:pPr>
            <w:r w:rsidRPr="00BE188C">
              <w:rPr>
                <w:b/>
                <w:bCs/>
                <w:sz w:val="20"/>
                <w:szCs w:val="20"/>
              </w:rPr>
              <w:t>2025 - 2026</w:t>
            </w:r>
          </w:p>
          <w:p w14:paraId="76E1EBBA" w14:textId="7DB85A93" w:rsidR="00BE188C" w:rsidRPr="008D419A" w:rsidRDefault="008D419A" w:rsidP="007C55BE">
            <w:pPr>
              <w:pStyle w:val="TableRow"/>
              <w:spacing w:before="0" w:after="0"/>
              <w:ind w:left="0"/>
              <w:rPr>
                <w:b/>
                <w:sz w:val="20"/>
                <w:szCs w:val="20"/>
              </w:rPr>
            </w:pPr>
            <w:r w:rsidRPr="008D419A">
              <w:rPr>
                <w:b/>
                <w:sz w:val="20"/>
                <w:szCs w:val="20"/>
              </w:rPr>
              <w:t>49</w:t>
            </w:r>
            <w:r w:rsidR="00BE188C" w:rsidRPr="008D419A">
              <w:rPr>
                <w:b/>
                <w:sz w:val="20"/>
                <w:szCs w:val="20"/>
              </w:rPr>
              <w:t xml:space="preserve">% </w:t>
            </w:r>
            <w:r>
              <w:rPr>
                <w:b/>
                <w:sz w:val="20"/>
                <w:szCs w:val="20"/>
              </w:rPr>
              <w:t xml:space="preserve">of pupils in receipt of PP funding </w:t>
            </w:r>
            <w:r w:rsidR="00BE188C" w:rsidRPr="008D419A">
              <w:rPr>
                <w:sz w:val="20"/>
                <w:szCs w:val="20"/>
              </w:rPr>
              <w:t>(1</w:t>
            </w:r>
            <w:r>
              <w:rPr>
                <w:sz w:val="20"/>
                <w:szCs w:val="20"/>
              </w:rPr>
              <w:t>30</w:t>
            </w:r>
            <w:r w:rsidR="00BE188C" w:rsidRPr="008D419A">
              <w:rPr>
                <w:sz w:val="20"/>
                <w:szCs w:val="20"/>
              </w:rPr>
              <w:t>/2</w:t>
            </w:r>
            <w:r w:rsidR="00E06537" w:rsidRPr="008D419A">
              <w:rPr>
                <w:sz w:val="20"/>
                <w:szCs w:val="20"/>
              </w:rPr>
              <w:t>64</w:t>
            </w:r>
            <w:r w:rsidR="00BE188C" w:rsidRPr="008D419A">
              <w:rPr>
                <w:sz w:val="20"/>
                <w:szCs w:val="20"/>
              </w:rPr>
              <w:t>)</w:t>
            </w:r>
          </w:p>
          <w:p w14:paraId="541D328F" w14:textId="1B9F1ADE" w:rsidR="00BE188C" w:rsidRPr="008F0AAE" w:rsidRDefault="00BE188C" w:rsidP="007C55BE">
            <w:pPr>
              <w:pStyle w:val="TableRow"/>
              <w:numPr>
                <w:ilvl w:val="0"/>
                <w:numId w:val="16"/>
              </w:numPr>
              <w:spacing w:before="0" w:after="0"/>
              <w:rPr>
                <w:sz w:val="20"/>
                <w:szCs w:val="20"/>
              </w:rPr>
            </w:pPr>
            <w:r w:rsidRPr="008F0AAE">
              <w:rPr>
                <w:sz w:val="20"/>
                <w:szCs w:val="20"/>
              </w:rPr>
              <w:t>1</w:t>
            </w:r>
            <w:r w:rsidR="008F0AAE" w:rsidRPr="008F0AAE">
              <w:rPr>
                <w:sz w:val="20"/>
                <w:szCs w:val="20"/>
              </w:rPr>
              <w:t>30</w:t>
            </w:r>
            <w:r w:rsidRPr="008F0AAE">
              <w:rPr>
                <w:sz w:val="20"/>
                <w:szCs w:val="20"/>
              </w:rPr>
              <w:t xml:space="preserve"> PP Funding </w:t>
            </w:r>
          </w:p>
          <w:p w14:paraId="1F2F1DD0" w14:textId="095A58A5" w:rsidR="00B46E3E" w:rsidRPr="008F0AAE" w:rsidRDefault="00B46E3E" w:rsidP="007C55BE">
            <w:pPr>
              <w:pStyle w:val="TableRow"/>
              <w:numPr>
                <w:ilvl w:val="0"/>
                <w:numId w:val="16"/>
              </w:numPr>
              <w:spacing w:before="0" w:after="0"/>
              <w:rPr>
                <w:sz w:val="20"/>
                <w:szCs w:val="20"/>
              </w:rPr>
            </w:pPr>
            <w:r w:rsidRPr="008F0AAE">
              <w:rPr>
                <w:sz w:val="20"/>
                <w:szCs w:val="20"/>
              </w:rPr>
              <w:t>112</w:t>
            </w:r>
            <w:r w:rsidR="00491074" w:rsidRPr="008F0AAE">
              <w:rPr>
                <w:sz w:val="20"/>
                <w:szCs w:val="20"/>
              </w:rPr>
              <w:t xml:space="preserve"> </w:t>
            </w:r>
            <w:r w:rsidRPr="008F0AAE">
              <w:rPr>
                <w:sz w:val="20"/>
                <w:szCs w:val="20"/>
              </w:rPr>
              <w:t>FSM</w:t>
            </w:r>
          </w:p>
          <w:p w14:paraId="2CA43D4C" w14:textId="6A076C9C" w:rsidR="00B46E3E" w:rsidRPr="008F0AAE" w:rsidRDefault="00B46E3E" w:rsidP="007C55BE">
            <w:pPr>
              <w:pStyle w:val="TableRow"/>
              <w:numPr>
                <w:ilvl w:val="0"/>
                <w:numId w:val="16"/>
              </w:numPr>
              <w:spacing w:before="0" w:after="0"/>
              <w:rPr>
                <w:sz w:val="20"/>
                <w:szCs w:val="20"/>
              </w:rPr>
            </w:pPr>
            <w:r w:rsidRPr="008F0AAE">
              <w:rPr>
                <w:sz w:val="20"/>
                <w:szCs w:val="20"/>
              </w:rPr>
              <w:t>6</w:t>
            </w:r>
            <w:r w:rsidR="00491074" w:rsidRPr="008F0AAE">
              <w:rPr>
                <w:sz w:val="20"/>
                <w:szCs w:val="20"/>
              </w:rPr>
              <w:t xml:space="preserve"> </w:t>
            </w:r>
            <w:r w:rsidRPr="008F0AAE">
              <w:rPr>
                <w:sz w:val="20"/>
                <w:szCs w:val="20"/>
              </w:rPr>
              <w:t>PLAC</w:t>
            </w:r>
          </w:p>
          <w:p w14:paraId="45741EC4" w14:textId="08644291" w:rsidR="00B46E3E" w:rsidRPr="008F0AAE" w:rsidRDefault="00491074" w:rsidP="007C55BE">
            <w:pPr>
              <w:pStyle w:val="TableRow"/>
              <w:numPr>
                <w:ilvl w:val="0"/>
                <w:numId w:val="16"/>
              </w:numPr>
              <w:spacing w:before="0" w:after="0"/>
              <w:rPr>
                <w:sz w:val="20"/>
                <w:szCs w:val="20"/>
              </w:rPr>
            </w:pPr>
            <w:r w:rsidRPr="008F0AAE">
              <w:rPr>
                <w:sz w:val="20"/>
                <w:szCs w:val="20"/>
              </w:rPr>
              <w:t>2 LAC</w:t>
            </w:r>
          </w:p>
          <w:p w14:paraId="7F2978AE" w14:textId="77777777" w:rsidR="00BE188C" w:rsidRPr="00BE188C" w:rsidRDefault="00BE188C" w:rsidP="007C55BE">
            <w:pPr>
              <w:pStyle w:val="TableRow"/>
              <w:numPr>
                <w:ilvl w:val="0"/>
                <w:numId w:val="16"/>
              </w:numPr>
              <w:spacing w:before="0" w:after="0"/>
              <w:rPr>
                <w:sz w:val="20"/>
                <w:szCs w:val="20"/>
              </w:rPr>
            </w:pPr>
            <w:r w:rsidRPr="007B039D">
              <w:rPr>
                <w:sz w:val="20"/>
                <w:szCs w:val="20"/>
              </w:rPr>
              <w:t>10 Service PP Funding</w:t>
            </w:r>
          </w:p>
          <w:p w14:paraId="75079827" w14:textId="77777777" w:rsidR="00BE188C" w:rsidRPr="00BE188C" w:rsidRDefault="00BE188C" w:rsidP="007C55BE">
            <w:pPr>
              <w:pStyle w:val="TableRow"/>
              <w:spacing w:before="0" w:after="0"/>
              <w:rPr>
                <w:b/>
                <w:bCs/>
                <w:sz w:val="20"/>
                <w:szCs w:val="20"/>
              </w:rPr>
            </w:pPr>
          </w:p>
          <w:p w14:paraId="3F651491" w14:textId="77777777" w:rsidR="00BE188C" w:rsidRPr="00BE188C" w:rsidRDefault="00BE188C" w:rsidP="007C55BE">
            <w:pPr>
              <w:pStyle w:val="TableRow"/>
              <w:spacing w:before="0" w:after="0"/>
              <w:ind w:left="0"/>
              <w:rPr>
                <w:b/>
                <w:bCs/>
                <w:sz w:val="20"/>
                <w:szCs w:val="20"/>
              </w:rPr>
            </w:pPr>
            <w:r w:rsidRPr="00BE188C">
              <w:rPr>
                <w:b/>
                <w:bCs/>
                <w:sz w:val="20"/>
                <w:szCs w:val="20"/>
              </w:rPr>
              <w:t>2024 - 2025</w:t>
            </w:r>
          </w:p>
          <w:p w14:paraId="23D2D705" w14:textId="2C8CBAEB" w:rsidR="00BE188C" w:rsidRPr="00BE188C" w:rsidRDefault="008D419A" w:rsidP="007C55BE">
            <w:pPr>
              <w:pStyle w:val="TableRow"/>
              <w:spacing w:before="0" w:after="0"/>
              <w:ind w:left="0"/>
              <w:rPr>
                <w:sz w:val="20"/>
                <w:szCs w:val="20"/>
              </w:rPr>
            </w:pPr>
            <w:r w:rsidRPr="008D419A">
              <w:rPr>
                <w:b/>
                <w:sz w:val="20"/>
                <w:szCs w:val="20"/>
              </w:rPr>
              <w:t xml:space="preserve">49% </w:t>
            </w:r>
            <w:r>
              <w:rPr>
                <w:b/>
                <w:sz w:val="20"/>
                <w:szCs w:val="20"/>
              </w:rPr>
              <w:t>of pupils in receipt of PP funding</w:t>
            </w:r>
            <w:r w:rsidR="00877E2B">
              <w:rPr>
                <w:b/>
                <w:sz w:val="20"/>
                <w:szCs w:val="20"/>
              </w:rPr>
              <w:t xml:space="preserve"> </w:t>
            </w:r>
            <w:r w:rsidR="00BE188C" w:rsidRPr="00BE188C">
              <w:rPr>
                <w:sz w:val="20"/>
                <w:szCs w:val="20"/>
              </w:rPr>
              <w:t>(1</w:t>
            </w:r>
            <w:r w:rsidR="002950CE">
              <w:rPr>
                <w:sz w:val="20"/>
                <w:szCs w:val="20"/>
              </w:rPr>
              <w:t>34</w:t>
            </w:r>
            <w:r w:rsidR="00BE188C" w:rsidRPr="00877E2B">
              <w:rPr>
                <w:sz w:val="20"/>
                <w:szCs w:val="20"/>
              </w:rPr>
              <w:t>/2</w:t>
            </w:r>
            <w:r w:rsidR="00877E2B" w:rsidRPr="00877E2B">
              <w:rPr>
                <w:sz w:val="20"/>
                <w:szCs w:val="20"/>
              </w:rPr>
              <w:t>73</w:t>
            </w:r>
            <w:r w:rsidR="00BE188C" w:rsidRPr="00BE188C">
              <w:rPr>
                <w:sz w:val="20"/>
                <w:szCs w:val="20"/>
              </w:rPr>
              <w:t>)</w:t>
            </w:r>
          </w:p>
          <w:p w14:paraId="6A8F9436" w14:textId="7F6173DB" w:rsidR="00BE188C" w:rsidRDefault="00BE188C" w:rsidP="007C55BE">
            <w:pPr>
              <w:pStyle w:val="TableRow"/>
              <w:numPr>
                <w:ilvl w:val="0"/>
                <w:numId w:val="17"/>
              </w:numPr>
              <w:spacing w:before="0" w:after="0"/>
              <w:rPr>
                <w:sz w:val="20"/>
                <w:szCs w:val="20"/>
              </w:rPr>
            </w:pPr>
            <w:r w:rsidRPr="00BE188C">
              <w:rPr>
                <w:sz w:val="20"/>
                <w:szCs w:val="20"/>
              </w:rPr>
              <w:t>1</w:t>
            </w:r>
            <w:r w:rsidR="002950CE">
              <w:rPr>
                <w:sz w:val="20"/>
                <w:szCs w:val="20"/>
              </w:rPr>
              <w:t>34</w:t>
            </w:r>
            <w:r w:rsidRPr="00BE188C">
              <w:rPr>
                <w:sz w:val="20"/>
                <w:szCs w:val="20"/>
              </w:rPr>
              <w:t xml:space="preserve"> PP Funding</w:t>
            </w:r>
          </w:p>
          <w:p w14:paraId="21F02033" w14:textId="087ED6C4" w:rsidR="00E274B5" w:rsidRDefault="00E274B5" w:rsidP="007C55BE">
            <w:pPr>
              <w:pStyle w:val="TableRow"/>
              <w:numPr>
                <w:ilvl w:val="0"/>
                <w:numId w:val="17"/>
              </w:numPr>
              <w:spacing w:before="0" w:after="0"/>
              <w:rPr>
                <w:sz w:val="20"/>
                <w:szCs w:val="20"/>
              </w:rPr>
            </w:pPr>
            <w:r>
              <w:rPr>
                <w:sz w:val="20"/>
                <w:szCs w:val="20"/>
              </w:rPr>
              <w:t>117</w:t>
            </w:r>
            <w:r w:rsidR="002950CE">
              <w:rPr>
                <w:sz w:val="20"/>
                <w:szCs w:val="20"/>
              </w:rPr>
              <w:t xml:space="preserve"> </w:t>
            </w:r>
            <w:r>
              <w:rPr>
                <w:sz w:val="20"/>
                <w:szCs w:val="20"/>
              </w:rPr>
              <w:t>FSM</w:t>
            </w:r>
          </w:p>
          <w:p w14:paraId="117726F5" w14:textId="58A68D12" w:rsidR="00E274B5" w:rsidRDefault="00E274B5" w:rsidP="007C55BE">
            <w:pPr>
              <w:pStyle w:val="TableRow"/>
              <w:numPr>
                <w:ilvl w:val="0"/>
                <w:numId w:val="17"/>
              </w:numPr>
              <w:spacing w:before="0" w:after="0"/>
              <w:rPr>
                <w:sz w:val="20"/>
                <w:szCs w:val="20"/>
              </w:rPr>
            </w:pPr>
            <w:r>
              <w:rPr>
                <w:sz w:val="20"/>
                <w:szCs w:val="20"/>
              </w:rPr>
              <w:t>3</w:t>
            </w:r>
            <w:r w:rsidR="002950CE">
              <w:rPr>
                <w:sz w:val="20"/>
                <w:szCs w:val="20"/>
              </w:rPr>
              <w:t xml:space="preserve"> </w:t>
            </w:r>
            <w:r>
              <w:rPr>
                <w:sz w:val="20"/>
                <w:szCs w:val="20"/>
              </w:rPr>
              <w:t>PLAC</w:t>
            </w:r>
          </w:p>
          <w:p w14:paraId="4633460D" w14:textId="101D6383" w:rsidR="00E274B5" w:rsidRPr="00BE188C" w:rsidRDefault="00E274B5" w:rsidP="007C55BE">
            <w:pPr>
              <w:pStyle w:val="TableRow"/>
              <w:numPr>
                <w:ilvl w:val="0"/>
                <w:numId w:val="17"/>
              </w:numPr>
              <w:spacing w:before="0" w:after="0"/>
              <w:rPr>
                <w:sz w:val="20"/>
                <w:szCs w:val="20"/>
              </w:rPr>
            </w:pPr>
            <w:r>
              <w:rPr>
                <w:sz w:val="20"/>
                <w:szCs w:val="20"/>
              </w:rPr>
              <w:t>2 LAC</w:t>
            </w:r>
          </w:p>
          <w:p w14:paraId="2135BAB4" w14:textId="532B3872" w:rsidR="00BE188C" w:rsidRPr="00BE188C" w:rsidRDefault="00BE188C" w:rsidP="007C55BE">
            <w:pPr>
              <w:pStyle w:val="TableRow"/>
              <w:numPr>
                <w:ilvl w:val="0"/>
                <w:numId w:val="17"/>
              </w:numPr>
              <w:spacing w:before="0" w:after="0"/>
              <w:rPr>
                <w:sz w:val="20"/>
                <w:szCs w:val="20"/>
              </w:rPr>
            </w:pPr>
            <w:r w:rsidRPr="00BE188C">
              <w:rPr>
                <w:sz w:val="20"/>
                <w:szCs w:val="20"/>
              </w:rPr>
              <w:t>1</w:t>
            </w:r>
            <w:r w:rsidR="00F709DE">
              <w:rPr>
                <w:sz w:val="20"/>
                <w:szCs w:val="20"/>
              </w:rPr>
              <w:t>2</w:t>
            </w:r>
            <w:r w:rsidRPr="00BE188C">
              <w:rPr>
                <w:sz w:val="20"/>
                <w:szCs w:val="20"/>
              </w:rPr>
              <w:t xml:space="preserve"> Service PP Funding</w:t>
            </w:r>
          </w:p>
        </w:tc>
      </w:tr>
      <w:tr w:rsidR="00BE188C" w14:paraId="0A4A6A0D" w14:textId="77777777" w:rsidTr="00BE188C">
        <w:trPr>
          <w:trHeight w:val="834"/>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5B15" w14:textId="77777777" w:rsidR="00BE188C" w:rsidRPr="00BE188C" w:rsidRDefault="00BE188C" w:rsidP="007C55BE">
            <w:pPr>
              <w:pStyle w:val="TableRow"/>
              <w:spacing w:before="0" w:after="0"/>
              <w:rPr>
                <w:sz w:val="20"/>
                <w:szCs w:val="20"/>
              </w:rPr>
            </w:pPr>
            <w:r w:rsidRPr="00BE188C">
              <w:rPr>
                <w:sz w:val="20"/>
                <w:szCs w:val="20"/>
              </w:rPr>
              <w:t xml:space="preserve">Academic year/years that our current pupil premium strategy plan covers </w:t>
            </w:r>
            <w:r w:rsidRPr="00BE188C">
              <w:rPr>
                <w:b/>
                <w:sz w:val="20"/>
                <w:szCs w:val="20"/>
              </w:rPr>
              <w:t>(3-year plans are recommended – you must still publish an updated statement each academic year)</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A1D14" w14:textId="77777777" w:rsidR="00BE188C" w:rsidRPr="00BE188C" w:rsidRDefault="00BE188C" w:rsidP="007C55BE">
            <w:pPr>
              <w:pStyle w:val="TableRow"/>
              <w:spacing w:before="0" w:after="0"/>
              <w:rPr>
                <w:sz w:val="20"/>
                <w:szCs w:val="20"/>
              </w:rPr>
            </w:pPr>
            <w:r w:rsidRPr="00BE188C">
              <w:rPr>
                <w:sz w:val="20"/>
                <w:szCs w:val="20"/>
              </w:rPr>
              <w:t>2024 - 2027</w:t>
            </w:r>
          </w:p>
        </w:tc>
      </w:tr>
      <w:tr w:rsidR="00BE188C" w14:paraId="2420739F"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329C5" w14:textId="77777777" w:rsidR="00BE188C" w:rsidRPr="00BE188C" w:rsidRDefault="00BE188C" w:rsidP="007C55BE">
            <w:pPr>
              <w:pStyle w:val="TableRow"/>
              <w:spacing w:before="0" w:after="0"/>
              <w:rPr>
                <w:sz w:val="20"/>
                <w:szCs w:val="20"/>
              </w:rPr>
            </w:pPr>
            <w:r w:rsidRPr="00BE188C">
              <w:rPr>
                <w:sz w:val="20"/>
                <w:szCs w:val="20"/>
              </w:rPr>
              <w:t>Date this statement was published</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65B7C" w14:textId="77777777" w:rsidR="00BE188C" w:rsidRPr="00BE188C" w:rsidRDefault="00BE188C" w:rsidP="007C55BE">
            <w:pPr>
              <w:pStyle w:val="TableRow"/>
              <w:spacing w:before="0" w:after="0"/>
              <w:rPr>
                <w:sz w:val="20"/>
                <w:szCs w:val="20"/>
              </w:rPr>
            </w:pPr>
            <w:r w:rsidRPr="00BE188C">
              <w:rPr>
                <w:sz w:val="20"/>
                <w:szCs w:val="20"/>
              </w:rPr>
              <w:t>March 2024</w:t>
            </w:r>
          </w:p>
        </w:tc>
      </w:tr>
      <w:tr w:rsidR="00BE188C" w14:paraId="0F6B1D42"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070DC" w14:textId="77777777" w:rsidR="00BE188C" w:rsidRPr="00BE188C" w:rsidRDefault="00BE188C" w:rsidP="007C55BE">
            <w:pPr>
              <w:pStyle w:val="TableRow"/>
              <w:spacing w:before="0" w:after="0"/>
              <w:rPr>
                <w:sz w:val="20"/>
                <w:szCs w:val="20"/>
              </w:rPr>
            </w:pPr>
            <w:r w:rsidRPr="00BE188C">
              <w:rPr>
                <w:sz w:val="20"/>
                <w:szCs w:val="20"/>
              </w:rPr>
              <w:t>Date on which it will be reviewed</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65016" w14:textId="77777777" w:rsidR="00BE188C" w:rsidRPr="00BE188C" w:rsidRDefault="00BE188C" w:rsidP="007C55BE">
            <w:pPr>
              <w:pStyle w:val="TableRow"/>
              <w:spacing w:before="0" w:after="0"/>
              <w:rPr>
                <w:sz w:val="20"/>
                <w:szCs w:val="20"/>
              </w:rPr>
            </w:pPr>
            <w:r w:rsidRPr="00BE188C">
              <w:rPr>
                <w:sz w:val="20"/>
                <w:szCs w:val="20"/>
              </w:rPr>
              <w:t>March 2025</w:t>
            </w:r>
          </w:p>
        </w:tc>
      </w:tr>
      <w:tr w:rsidR="00BE188C" w14:paraId="061BEE42"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2879" w14:textId="77777777" w:rsidR="00BE188C" w:rsidRPr="00BE188C" w:rsidRDefault="00BE188C" w:rsidP="007C55BE">
            <w:pPr>
              <w:pStyle w:val="TableRow"/>
              <w:spacing w:before="0" w:after="0"/>
              <w:rPr>
                <w:sz w:val="20"/>
                <w:szCs w:val="20"/>
              </w:rPr>
            </w:pPr>
            <w:r w:rsidRPr="00BE188C">
              <w:rPr>
                <w:sz w:val="20"/>
                <w:szCs w:val="20"/>
              </w:rPr>
              <w:t>Statement authorised by</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365FA" w14:textId="77777777" w:rsidR="00BE188C" w:rsidRPr="00BE188C" w:rsidRDefault="00BE188C" w:rsidP="007C55BE">
            <w:pPr>
              <w:pStyle w:val="TableRow"/>
              <w:spacing w:before="0" w:after="0"/>
              <w:rPr>
                <w:sz w:val="20"/>
                <w:szCs w:val="20"/>
              </w:rPr>
            </w:pPr>
            <w:r w:rsidRPr="00BE188C">
              <w:rPr>
                <w:sz w:val="20"/>
                <w:szCs w:val="20"/>
              </w:rPr>
              <w:t>Mrs D. Mills (Head Teacher)</w:t>
            </w:r>
          </w:p>
        </w:tc>
      </w:tr>
      <w:tr w:rsidR="00BE188C" w14:paraId="4A1B2789" w14:textId="77777777" w:rsidTr="00BE188C">
        <w:trPr>
          <w:trHeight w:val="35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0038F" w14:textId="77777777" w:rsidR="00BE188C" w:rsidRPr="00BE188C" w:rsidRDefault="00BE188C" w:rsidP="007C55BE">
            <w:pPr>
              <w:pStyle w:val="TableRow"/>
              <w:spacing w:before="0" w:after="0"/>
              <w:rPr>
                <w:sz w:val="20"/>
                <w:szCs w:val="20"/>
              </w:rPr>
            </w:pPr>
            <w:r w:rsidRPr="00BE188C">
              <w:rPr>
                <w:sz w:val="20"/>
                <w:szCs w:val="20"/>
              </w:rPr>
              <w:t>Pupil premium lead</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57DE2" w14:textId="77777777" w:rsidR="00BE188C" w:rsidRPr="00BE188C" w:rsidRDefault="00BE188C" w:rsidP="007C55BE">
            <w:pPr>
              <w:pStyle w:val="TableRow"/>
              <w:spacing w:before="0" w:after="0"/>
              <w:rPr>
                <w:sz w:val="20"/>
                <w:szCs w:val="20"/>
              </w:rPr>
            </w:pPr>
            <w:r w:rsidRPr="00BE188C">
              <w:rPr>
                <w:sz w:val="20"/>
                <w:szCs w:val="20"/>
              </w:rPr>
              <w:t>Mrs R. Wilson (Deputy Head)</w:t>
            </w:r>
          </w:p>
        </w:tc>
      </w:tr>
      <w:tr w:rsidR="00BE188C" w14:paraId="0F4FBA27" w14:textId="77777777" w:rsidTr="00BE188C">
        <w:trPr>
          <w:trHeight w:val="345"/>
        </w:trPr>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83D8" w14:textId="77777777" w:rsidR="00BE188C" w:rsidRPr="00BE188C" w:rsidRDefault="00BE188C" w:rsidP="007C55BE">
            <w:pPr>
              <w:pStyle w:val="TableRow"/>
              <w:spacing w:before="0" w:after="0"/>
              <w:rPr>
                <w:sz w:val="20"/>
                <w:szCs w:val="20"/>
              </w:rPr>
            </w:pPr>
            <w:r w:rsidRPr="00BE188C">
              <w:rPr>
                <w:sz w:val="20"/>
                <w:szCs w:val="20"/>
              </w:rPr>
              <w:t>Governor</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6BD7A" w14:textId="77777777" w:rsidR="00BE188C" w:rsidRPr="00BE188C" w:rsidRDefault="00BE188C" w:rsidP="007C55BE">
            <w:pPr>
              <w:pStyle w:val="TableRow"/>
              <w:spacing w:before="0" w:after="0"/>
              <w:rPr>
                <w:sz w:val="20"/>
                <w:szCs w:val="20"/>
              </w:rPr>
            </w:pPr>
            <w:r w:rsidRPr="00BE188C">
              <w:rPr>
                <w:sz w:val="20"/>
                <w:szCs w:val="20"/>
              </w:rPr>
              <w:t>Mr M. Austin</w:t>
            </w:r>
          </w:p>
        </w:tc>
      </w:tr>
    </w:tbl>
    <w:p w14:paraId="7921F6D5" w14:textId="77777777" w:rsidR="00BE188C" w:rsidRDefault="00BE188C" w:rsidP="00BE188C">
      <w:pPr>
        <w:spacing w:after="0" w:line="240" w:lineRule="auto"/>
      </w:pPr>
    </w:p>
    <w:p w14:paraId="43622DDC" w14:textId="041E4B35" w:rsidR="00BE188C" w:rsidRPr="008B13D7" w:rsidRDefault="00BE188C" w:rsidP="00BE188C">
      <w:pPr>
        <w:spacing w:after="0" w:line="240" w:lineRule="auto"/>
        <w:rPr>
          <w:rFonts w:cs="Arial"/>
          <w:b/>
          <w:bCs/>
          <w:color w:val="002060"/>
        </w:rPr>
      </w:pPr>
      <w:r w:rsidRPr="008B13D7">
        <w:rPr>
          <w:rFonts w:cs="Arial"/>
          <w:b/>
          <w:bCs/>
          <w:color w:val="002060"/>
        </w:rPr>
        <w:t>Funding Overview</w:t>
      </w:r>
    </w:p>
    <w:tbl>
      <w:tblPr>
        <w:tblW w:w="10467" w:type="dxa"/>
        <w:tblCellMar>
          <w:left w:w="10" w:type="dxa"/>
          <w:right w:w="10" w:type="dxa"/>
        </w:tblCellMar>
        <w:tblLook w:val="04A0" w:firstRow="1" w:lastRow="0" w:firstColumn="1" w:lastColumn="0" w:noHBand="0" w:noVBand="1"/>
      </w:tblPr>
      <w:tblGrid>
        <w:gridCol w:w="7190"/>
        <w:gridCol w:w="3277"/>
      </w:tblGrid>
      <w:tr w:rsidR="00BE188C" w14:paraId="4A6D0782" w14:textId="77777777" w:rsidTr="00BE188C">
        <w:trPr>
          <w:trHeight w:val="376"/>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0842936" w14:textId="77777777" w:rsidR="00BE188C" w:rsidRPr="00BE188C" w:rsidRDefault="00BE188C" w:rsidP="00334AA7">
            <w:pPr>
              <w:pStyle w:val="TableRow"/>
              <w:ind w:left="0" w:right="0"/>
              <w:rPr>
                <w:sz w:val="20"/>
                <w:szCs w:val="20"/>
              </w:rPr>
            </w:pPr>
            <w:r w:rsidRPr="00BE188C">
              <w:rPr>
                <w:b/>
                <w:sz w:val="20"/>
                <w:szCs w:val="20"/>
              </w:rPr>
              <w:t>Detail</w:t>
            </w:r>
          </w:p>
        </w:tc>
        <w:tc>
          <w:tcPr>
            <w:tcW w:w="3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592DBB08" w14:textId="77777777" w:rsidR="00BE188C" w:rsidRDefault="00BE188C" w:rsidP="00334AA7">
            <w:pPr>
              <w:pStyle w:val="TableRow"/>
              <w:ind w:left="0" w:right="0"/>
            </w:pPr>
            <w:r>
              <w:rPr>
                <w:b/>
              </w:rPr>
              <w:t>Amount</w:t>
            </w:r>
          </w:p>
        </w:tc>
      </w:tr>
      <w:tr w:rsidR="00BE188C" w14:paraId="4EFF052C" w14:textId="77777777" w:rsidTr="00BE188C">
        <w:trPr>
          <w:trHeight w:val="376"/>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A7394" w14:textId="42B2DF4B" w:rsidR="00BE188C" w:rsidRDefault="00BE188C" w:rsidP="00BE188C">
            <w:pPr>
              <w:pStyle w:val="TableRow"/>
              <w:spacing w:before="0" w:after="0"/>
              <w:ind w:left="0" w:right="0"/>
              <w:rPr>
                <w:sz w:val="20"/>
                <w:szCs w:val="20"/>
              </w:rPr>
            </w:pPr>
            <w:r w:rsidRPr="00BE188C">
              <w:rPr>
                <w:sz w:val="20"/>
                <w:szCs w:val="20"/>
              </w:rPr>
              <w:t>Pupil premium funding allocation this academic year</w:t>
            </w:r>
            <w:r>
              <w:rPr>
                <w:sz w:val="20"/>
                <w:szCs w:val="20"/>
              </w:rPr>
              <w:t xml:space="preserve"> 202</w:t>
            </w:r>
            <w:r w:rsidR="00F709DE">
              <w:rPr>
                <w:sz w:val="20"/>
                <w:szCs w:val="20"/>
              </w:rPr>
              <w:t>4</w:t>
            </w:r>
            <w:r>
              <w:rPr>
                <w:sz w:val="20"/>
                <w:szCs w:val="20"/>
              </w:rPr>
              <w:t xml:space="preserve"> – 202</w:t>
            </w:r>
            <w:r w:rsidR="00F709DE">
              <w:rPr>
                <w:sz w:val="20"/>
                <w:szCs w:val="20"/>
              </w:rPr>
              <w:t>5</w:t>
            </w:r>
          </w:p>
          <w:p w14:paraId="40930021" w14:textId="77777777" w:rsidR="00BE188C" w:rsidRDefault="00BE188C" w:rsidP="00BE188C">
            <w:pPr>
              <w:pStyle w:val="TableRow"/>
              <w:spacing w:before="0" w:after="0"/>
              <w:ind w:left="0" w:right="0"/>
              <w:rPr>
                <w:sz w:val="20"/>
                <w:szCs w:val="20"/>
              </w:rPr>
            </w:pPr>
          </w:p>
          <w:p w14:paraId="4F2A95F2" w14:textId="77777777" w:rsidR="00BE188C" w:rsidRDefault="00BE188C" w:rsidP="00BE188C">
            <w:pPr>
              <w:pStyle w:val="TableRow"/>
              <w:spacing w:before="0" w:after="0"/>
              <w:ind w:left="0" w:right="0"/>
              <w:rPr>
                <w:sz w:val="20"/>
                <w:szCs w:val="20"/>
              </w:rPr>
            </w:pPr>
          </w:p>
          <w:p w14:paraId="0AEA3657" w14:textId="77777777" w:rsidR="00BE188C" w:rsidRDefault="00BE188C" w:rsidP="00BE188C">
            <w:pPr>
              <w:pStyle w:val="TableRow"/>
              <w:spacing w:before="0" w:after="0"/>
              <w:ind w:left="0" w:right="0"/>
              <w:rPr>
                <w:sz w:val="20"/>
                <w:szCs w:val="20"/>
              </w:rPr>
            </w:pPr>
          </w:p>
          <w:p w14:paraId="0A2BD276" w14:textId="77777777" w:rsidR="00BE188C" w:rsidRDefault="00BE188C" w:rsidP="00BE188C">
            <w:pPr>
              <w:pStyle w:val="TableRow"/>
              <w:spacing w:before="0" w:after="0"/>
              <w:ind w:left="0" w:right="0"/>
              <w:rPr>
                <w:sz w:val="20"/>
                <w:szCs w:val="20"/>
              </w:rPr>
            </w:pPr>
          </w:p>
          <w:p w14:paraId="53C5EBC1" w14:textId="56315815" w:rsidR="00BE188C" w:rsidRPr="00BE188C" w:rsidRDefault="00BE188C" w:rsidP="00BE188C">
            <w:pPr>
              <w:pStyle w:val="TableRow"/>
              <w:spacing w:before="0" w:after="0"/>
              <w:ind w:left="0" w:right="0"/>
              <w:rPr>
                <w:sz w:val="20"/>
                <w:szCs w:val="20"/>
              </w:rPr>
            </w:pPr>
          </w:p>
        </w:tc>
        <w:tc>
          <w:tcPr>
            <w:tcW w:w="3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29AC" w14:textId="5F5D9395" w:rsidR="00BE188C" w:rsidRPr="00B26717" w:rsidRDefault="00BE188C" w:rsidP="00BE188C">
            <w:pPr>
              <w:pStyle w:val="TableRow"/>
              <w:spacing w:before="0" w:after="0"/>
              <w:ind w:left="0"/>
              <w:rPr>
                <w:b/>
                <w:bCs/>
                <w:sz w:val="20"/>
                <w:szCs w:val="20"/>
              </w:rPr>
            </w:pPr>
            <w:r w:rsidRPr="00B26717">
              <w:rPr>
                <w:b/>
                <w:bCs/>
                <w:sz w:val="20"/>
                <w:szCs w:val="20"/>
              </w:rPr>
              <w:t>£1</w:t>
            </w:r>
            <w:r w:rsidR="0070311A" w:rsidRPr="00B26717">
              <w:rPr>
                <w:b/>
                <w:bCs/>
                <w:sz w:val="20"/>
                <w:szCs w:val="20"/>
              </w:rPr>
              <w:t>89</w:t>
            </w:r>
            <w:r w:rsidRPr="00B26717">
              <w:rPr>
                <w:b/>
                <w:bCs/>
                <w:sz w:val="20"/>
                <w:szCs w:val="20"/>
              </w:rPr>
              <w:t>,</w:t>
            </w:r>
            <w:r w:rsidR="0070311A" w:rsidRPr="00B26717">
              <w:rPr>
                <w:b/>
                <w:bCs/>
                <w:sz w:val="20"/>
                <w:szCs w:val="20"/>
              </w:rPr>
              <w:t>056</w:t>
            </w:r>
          </w:p>
          <w:p w14:paraId="67358E2A" w14:textId="77777777" w:rsidR="00BE188C" w:rsidRPr="00BE188C" w:rsidRDefault="00BE188C" w:rsidP="00BE188C">
            <w:pPr>
              <w:pStyle w:val="TableRow"/>
              <w:spacing w:before="0" w:after="0"/>
              <w:ind w:left="0"/>
              <w:rPr>
                <w:sz w:val="20"/>
                <w:szCs w:val="20"/>
              </w:rPr>
            </w:pPr>
            <w:r w:rsidRPr="00BE188C">
              <w:rPr>
                <w:sz w:val="20"/>
                <w:szCs w:val="20"/>
              </w:rPr>
              <w:t>Budget for:</w:t>
            </w:r>
          </w:p>
          <w:p w14:paraId="1F27A061" w14:textId="637F2E89" w:rsidR="00B26717" w:rsidRDefault="00B26717" w:rsidP="00B26717">
            <w:pPr>
              <w:pStyle w:val="TableRow"/>
              <w:numPr>
                <w:ilvl w:val="0"/>
                <w:numId w:val="18"/>
              </w:numPr>
              <w:spacing w:before="0" w:after="0"/>
              <w:rPr>
                <w:sz w:val="20"/>
                <w:szCs w:val="20"/>
              </w:rPr>
            </w:pPr>
            <w:r w:rsidRPr="00BE188C">
              <w:rPr>
                <w:sz w:val="20"/>
                <w:szCs w:val="20"/>
              </w:rPr>
              <w:t>1</w:t>
            </w:r>
            <w:r>
              <w:rPr>
                <w:sz w:val="20"/>
                <w:szCs w:val="20"/>
              </w:rPr>
              <w:t>34</w:t>
            </w:r>
            <w:r w:rsidRPr="00BE188C">
              <w:rPr>
                <w:sz w:val="20"/>
                <w:szCs w:val="20"/>
              </w:rPr>
              <w:t xml:space="preserve"> PP Funding</w:t>
            </w:r>
          </w:p>
          <w:p w14:paraId="4E407524" w14:textId="77777777" w:rsidR="00B26717" w:rsidRDefault="00B26717" w:rsidP="00B26717">
            <w:pPr>
              <w:pStyle w:val="TableRow"/>
              <w:numPr>
                <w:ilvl w:val="0"/>
                <w:numId w:val="18"/>
              </w:numPr>
              <w:spacing w:before="0" w:after="0"/>
              <w:rPr>
                <w:sz w:val="20"/>
                <w:szCs w:val="20"/>
              </w:rPr>
            </w:pPr>
            <w:r>
              <w:rPr>
                <w:sz w:val="20"/>
                <w:szCs w:val="20"/>
              </w:rPr>
              <w:t>117 FSM</w:t>
            </w:r>
          </w:p>
          <w:p w14:paraId="19DABFFF" w14:textId="77777777" w:rsidR="00B26717" w:rsidRDefault="00B26717" w:rsidP="00B26717">
            <w:pPr>
              <w:pStyle w:val="TableRow"/>
              <w:numPr>
                <w:ilvl w:val="0"/>
                <w:numId w:val="18"/>
              </w:numPr>
              <w:spacing w:before="0" w:after="0"/>
              <w:rPr>
                <w:sz w:val="20"/>
                <w:szCs w:val="20"/>
              </w:rPr>
            </w:pPr>
            <w:r>
              <w:rPr>
                <w:sz w:val="20"/>
                <w:szCs w:val="20"/>
              </w:rPr>
              <w:t>3 PLAC</w:t>
            </w:r>
          </w:p>
          <w:p w14:paraId="78044BE9" w14:textId="77777777" w:rsidR="00B26717" w:rsidRPr="00BE188C" w:rsidRDefault="00B26717" w:rsidP="00B26717">
            <w:pPr>
              <w:pStyle w:val="TableRow"/>
              <w:numPr>
                <w:ilvl w:val="0"/>
                <w:numId w:val="18"/>
              </w:numPr>
              <w:spacing w:before="0" w:after="0"/>
              <w:rPr>
                <w:sz w:val="20"/>
                <w:szCs w:val="20"/>
              </w:rPr>
            </w:pPr>
            <w:r>
              <w:rPr>
                <w:sz w:val="20"/>
                <w:szCs w:val="20"/>
              </w:rPr>
              <w:t>2 LAC</w:t>
            </w:r>
          </w:p>
          <w:p w14:paraId="18FA2235" w14:textId="57E12546" w:rsidR="00BE188C" w:rsidRPr="00BE188C" w:rsidRDefault="00B26717" w:rsidP="00B26717">
            <w:pPr>
              <w:pStyle w:val="TableRow"/>
              <w:numPr>
                <w:ilvl w:val="0"/>
                <w:numId w:val="18"/>
              </w:numPr>
              <w:spacing w:before="0" w:after="0"/>
              <w:ind w:right="0"/>
              <w:rPr>
                <w:sz w:val="20"/>
                <w:szCs w:val="20"/>
              </w:rPr>
            </w:pPr>
            <w:r w:rsidRPr="00BE188C">
              <w:rPr>
                <w:sz w:val="20"/>
                <w:szCs w:val="20"/>
              </w:rPr>
              <w:t>1</w:t>
            </w:r>
            <w:r>
              <w:rPr>
                <w:sz w:val="20"/>
                <w:szCs w:val="20"/>
              </w:rPr>
              <w:t>2</w:t>
            </w:r>
            <w:r w:rsidRPr="00BE188C">
              <w:rPr>
                <w:sz w:val="20"/>
                <w:szCs w:val="20"/>
              </w:rPr>
              <w:t xml:space="preserve"> Service PP Funding</w:t>
            </w:r>
          </w:p>
        </w:tc>
      </w:tr>
      <w:tr w:rsidR="00BE188C" w14:paraId="6BEE3EB0" w14:textId="77777777" w:rsidTr="00BE188C">
        <w:trPr>
          <w:trHeight w:val="376"/>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6527C" w14:textId="77777777" w:rsidR="00BE188C" w:rsidRPr="00BE188C" w:rsidRDefault="00BE188C" w:rsidP="00BE188C">
            <w:pPr>
              <w:pStyle w:val="TableRow"/>
              <w:spacing w:before="0" w:after="0"/>
              <w:ind w:left="0" w:right="0"/>
              <w:rPr>
                <w:sz w:val="20"/>
                <w:szCs w:val="20"/>
              </w:rPr>
            </w:pPr>
            <w:r w:rsidRPr="00BE188C">
              <w:rPr>
                <w:sz w:val="20"/>
                <w:szCs w:val="20"/>
              </w:rPr>
              <w:t xml:space="preserve">Pupil premium funding carried forward from previous years </w:t>
            </w:r>
            <w:r w:rsidRPr="00BE188C">
              <w:rPr>
                <w:i/>
                <w:iCs/>
                <w:sz w:val="20"/>
                <w:szCs w:val="20"/>
              </w:rPr>
              <w:t>(enter £0 if not applicable)</w:t>
            </w:r>
          </w:p>
        </w:tc>
        <w:tc>
          <w:tcPr>
            <w:tcW w:w="3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2F4B" w14:textId="77777777" w:rsidR="00BE188C" w:rsidRPr="00BE188C" w:rsidRDefault="00BE188C" w:rsidP="00BE188C">
            <w:pPr>
              <w:pStyle w:val="TableRow"/>
              <w:spacing w:before="0" w:after="0"/>
              <w:ind w:left="0" w:right="0"/>
              <w:rPr>
                <w:sz w:val="20"/>
                <w:szCs w:val="20"/>
              </w:rPr>
            </w:pPr>
            <w:r w:rsidRPr="00BE188C">
              <w:rPr>
                <w:sz w:val="20"/>
                <w:szCs w:val="20"/>
              </w:rPr>
              <w:t>£0</w:t>
            </w:r>
          </w:p>
        </w:tc>
      </w:tr>
      <w:tr w:rsidR="00BE188C" w14:paraId="7B814905" w14:textId="77777777" w:rsidTr="00BE188C">
        <w:trPr>
          <w:trHeight w:val="762"/>
        </w:trPr>
        <w:tc>
          <w:tcPr>
            <w:tcW w:w="7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DC1A" w14:textId="77777777" w:rsidR="00BE188C" w:rsidRPr="00BE188C" w:rsidRDefault="00BE188C" w:rsidP="00BE188C">
            <w:pPr>
              <w:pStyle w:val="TableRow"/>
              <w:spacing w:before="0" w:after="0"/>
              <w:ind w:left="0" w:right="0"/>
              <w:rPr>
                <w:b/>
                <w:sz w:val="20"/>
                <w:szCs w:val="20"/>
              </w:rPr>
            </w:pPr>
            <w:r w:rsidRPr="00BE188C">
              <w:rPr>
                <w:b/>
                <w:sz w:val="20"/>
                <w:szCs w:val="20"/>
              </w:rPr>
              <w:lastRenderedPageBreak/>
              <w:t>Total budget for this academic year</w:t>
            </w:r>
          </w:p>
          <w:p w14:paraId="32F39628" w14:textId="77777777" w:rsidR="00BE188C" w:rsidRPr="00BE188C" w:rsidRDefault="00BE188C" w:rsidP="00BE188C">
            <w:pPr>
              <w:pStyle w:val="TableRow"/>
              <w:spacing w:before="0" w:after="0"/>
              <w:ind w:left="0" w:right="0"/>
              <w:rPr>
                <w:i/>
                <w:iCs/>
                <w:sz w:val="20"/>
                <w:szCs w:val="20"/>
              </w:rPr>
            </w:pPr>
            <w:r w:rsidRPr="00BE188C">
              <w:rPr>
                <w:i/>
                <w:iCs/>
                <w:sz w:val="20"/>
                <w:szCs w:val="20"/>
              </w:rPr>
              <w:t>If your school is an academy in a trust that pools this funding, state the amount available to your school this academic year</w:t>
            </w:r>
          </w:p>
        </w:tc>
        <w:tc>
          <w:tcPr>
            <w:tcW w:w="3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45A9" w14:textId="77777777" w:rsidR="00BE188C" w:rsidRPr="00BE188C" w:rsidRDefault="00BE188C" w:rsidP="00BE188C">
            <w:pPr>
              <w:pStyle w:val="TableRow"/>
              <w:spacing w:before="0" w:after="0"/>
              <w:ind w:left="0" w:right="0"/>
              <w:rPr>
                <w:sz w:val="20"/>
                <w:szCs w:val="20"/>
              </w:rPr>
            </w:pPr>
            <w:r w:rsidRPr="00BE188C">
              <w:rPr>
                <w:sz w:val="20"/>
                <w:szCs w:val="20"/>
              </w:rPr>
              <w:t>£</w:t>
            </w:r>
          </w:p>
        </w:tc>
      </w:tr>
    </w:tbl>
    <w:p w14:paraId="4C0C3799" w14:textId="77777777" w:rsidR="00BE188C" w:rsidRDefault="00BE188C" w:rsidP="00BE188C">
      <w:pPr>
        <w:spacing w:after="0" w:line="240" w:lineRule="auto"/>
        <w:rPr>
          <w:b/>
          <w:bCs/>
          <w:color w:val="002060"/>
        </w:rPr>
      </w:pPr>
    </w:p>
    <w:p w14:paraId="47425064" w14:textId="3FB5ABBD" w:rsidR="00BE188C" w:rsidRPr="008B13D7" w:rsidRDefault="00BE188C" w:rsidP="00B26717">
      <w:pPr>
        <w:pStyle w:val="Heading1"/>
        <w:spacing w:after="0"/>
        <w:jc w:val="center"/>
        <w:rPr>
          <w:rFonts w:ascii="Arial" w:hAnsi="Arial" w:cs="Arial"/>
          <w:b/>
          <w:bCs/>
          <w:sz w:val="24"/>
          <w:szCs w:val="24"/>
        </w:rPr>
      </w:pPr>
      <w:r w:rsidRPr="008B13D7">
        <w:rPr>
          <w:rFonts w:ascii="Arial" w:hAnsi="Arial" w:cs="Arial"/>
          <w:b/>
          <w:bCs/>
          <w:sz w:val="24"/>
          <w:szCs w:val="24"/>
        </w:rPr>
        <w:t xml:space="preserve">Part A: Pupil </w:t>
      </w:r>
      <w:r w:rsidR="008B13D7">
        <w:rPr>
          <w:rFonts w:ascii="Arial" w:hAnsi="Arial" w:cs="Arial"/>
          <w:b/>
          <w:bCs/>
          <w:sz w:val="24"/>
          <w:szCs w:val="24"/>
        </w:rPr>
        <w:t>P</w:t>
      </w:r>
      <w:r w:rsidRPr="008B13D7">
        <w:rPr>
          <w:rFonts w:ascii="Arial" w:hAnsi="Arial" w:cs="Arial"/>
          <w:b/>
          <w:bCs/>
          <w:sz w:val="24"/>
          <w:szCs w:val="24"/>
        </w:rPr>
        <w:t xml:space="preserve">remium </w:t>
      </w:r>
      <w:r w:rsidR="008B13D7">
        <w:rPr>
          <w:rFonts w:ascii="Arial" w:hAnsi="Arial" w:cs="Arial"/>
          <w:b/>
          <w:bCs/>
          <w:sz w:val="24"/>
          <w:szCs w:val="24"/>
        </w:rPr>
        <w:t>S</w:t>
      </w:r>
      <w:r w:rsidRPr="008B13D7">
        <w:rPr>
          <w:rFonts w:ascii="Arial" w:hAnsi="Arial" w:cs="Arial"/>
          <w:b/>
          <w:bCs/>
          <w:sz w:val="24"/>
          <w:szCs w:val="24"/>
        </w:rPr>
        <w:t xml:space="preserve">trategy </w:t>
      </w:r>
      <w:r w:rsidR="008B13D7">
        <w:rPr>
          <w:rFonts w:ascii="Arial" w:hAnsi="Arial" w:cs="Arial"/>
          <w:b/>
          <w:bCs/>
          <w:sz w:val="24"/>
          <w:szCs w:val="24"/>
        </w:rPr>
        <w:t>P</w:t>
      </w:r>
      <w:r w:rsidRPr="008B13D7">
        <w:rPr>
          <w:rFonts w:ascii="Arial" w:hAnsi="Arial" w:cs="Arial"/>
          <w:b/>
          <w:bCs/>
          <w:sz w:val="24"/>
          <w:szCs w:val="24"/>
        </w:rPr>
        <w:t>lan</w:t>
      </w:r>
    </w:p>
    <w:p w14:paraId="5612D635" w14:textId="377D7270" w:rsidR="00BE188C" w:rsidRPr="008B13D7" w:rsidRDefault="00BE188C" w:rsidP="00BE188C">
      <w:pPr>
        <w:pStyle w:val="Heading2"/>
        <w:spacing w:after="0"/>
        <w:rPr>
          <w:rFonts w:ascii="Arial" w:hAnsi="Arial" w:cs="Arial"/>
          <w:b/>
          <w:bCs/>
          <w:sz w:val="24"/>
          <w:szCs w:val="24"/>
        </w:rPr>
      </w:pPr>
      <w:r w:rsidRPr="008B13D7">
        <w:rPr>
          <w:rFonts w:ascii="Arial" w:hAnsi="Arial" w:cs="Arial"/>
          <w:b/>
          <w:bCs/>
          <w:sz w:val="24"/>
          <w:szCs w:val="24"/>
        </w:rPr>
        <w:t>Statement of Intent</w:t>
      </w:r>
    </w:p>
    <w:tbl>
      <w:tblPr>
        <w:tblW w:w="10485" w:type="dxa"/>
        <w:tblCellMar>
          <w:left w:w="10" w:type="dxa"/>
          <w:right w:w="10" w:type="dxa"/>
        </w:tblCellMar>
        <w:tblLook w:val="04A0" w:firstRow="1" w:lastRow="0" w:firstColumn="1" w:lastColumn="0" w:noHBand="0" w:noVBand="1"/>
      </w:tblPr>
      <w:tblGrid>
        <w:gridCol w:w="10485"/>
      </w:tblGrid>
      <w:tr w:rsidR="00BE188C" w14:paraId="595947B8" w14:textId="77777777" w:rsidTr="007A632B">
        <w:trPr>
          <w:trHeight w:val="5268"/>
        </w:trPr>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08CD7" w14:textId="77777777" w:rsidR="00BE188C" w:rsidRPr="00BE188C" w:rsidRDefault="00BE188C" w:rsidP="00334AA7">
            <w:pPr>
              <w:spacing w:after="0" w:line="240" w:lineRule="auto"/>
              <w:rPr>
                <w:rFonts w:cs="Arial"/>
                <w:sz w:val="20"/>
                <w:szCs w:val="20"/>
              </w:rPr>
            </w:pPr>
            <w:r w:rsidRPr="00BE188C">
              <w:rPr>
                <w:rFonts w:cs="Arial"/>
                <w:sz w:val="20"/>
                <w:szCs w:val="20"/>
              </w:rPr>
              <w:t>Our ultimate objective is that all pupil premium pupils, irrespective of their background make good progress and achieve in line with their respective non pupil premium peers by the time they leave our Primary School.</w:t>
            </w:r>
          </w:p>
          <w:p w14:paraId="2F17E8ED" w14:textId="77777777" w:rsidR="00BE188C" w:rsidRPr="00BE188C" w:rsidRDefault="00BE188C" w:rsidP="00334AA7">
            <w:pPr>
              <w:spacing w:after="0" w:line="240" w:lineRule="auto"/>
              <w:rPr>
                <w:rFonts w:cs="Arial"/>
                <w:sz w:val="20"/>
                <w:szCs w:val="20"/>
              </w:rPr>
            </w:pPr>
          </w:p>
          <w:p w14:paraId="434F9740" w14:textId="77777777" w:rsidR="00BE188C" w:rsidRPr="00BE188C" w:rsidRDefault="00BE188C" w:rsidP="00334AA7">
            <w:pPr>
              <w:spacing w:after="0" w:line="240" w:lineRule="auto"/>
              <w:rPr>
                <w:rFonts w:cs="Arial"/>
                <w:sz w:val="20"/>
                <w:szCs w:val="20"/>
              </w:rPr>
            </w:pPr>
            <w:r w:rsidRPr="00BE188C">
              <w:rPr>
                <w:rFonts w:cs="Arial"/>
                <w:sz w:val="20"/>
                <w:szCs w:val="20"/>
              </w:rPr>
              <w:t>Our focus is to ensure our strategy supports all disadvantaged pupils, including those with additional barriers to their learning, whether these be social, emotional, or academic. We aim to continue to narrow the gap between vulnerable groups of pupils and others in Reading, Writing and Mathematics.</w:t>
            </w:r>
          </w:p>
          <w:p w14:paraId="5F6A5335" w14:textId="77777777" w:rsidR="00BE188C" w:rsidRPr="00BE188C" w:rsidRDefault="00BE188C" w:rsidP="00334AA7">
            <w:pPr>
              <w:spacing w:after="0" w:line="240" w:lineRule="auto"/>
              <w:rPr>
                <w:rFonts w:cs="Arial"/>
                <w:sz w:val="20"/>
                <w:szCs w:val="20"/>
              </w:rPr>
            </w:pPr>
          </w:p>
          <w:p w14:paraId="0D06F3BF" w14:textId="192B2C1F" w:rsidR="00BE188C" w:rsidRPr="00BE188C" w:rsidRDefault="00BE188C" w:rsidP="00334AA7">
            <w:pPr>
              <w:spacing w:after="0" w:line="240" w:lineRule="auto"/>
              <w:rPr>
                <w:rFonts w:cs="Arial"/>
                <w:sz w:val="20"/>
                <w:szCs w:val="20"/>
              </w:rPr>
            </w:pPr>
            <w:r w:rsidRPr="00BE188C">
              <w:rPr>
                <w:rFonts w:cs="Arial"/>
                <w:sz w:val="20"/>
                <w:szCs w:val="20"/>
              </w:rPr>
              <w:t>Quality first teaching is at the heart of everything we do at St. Matthew’s, with a focus on areas in which greatest support is required, such as the lowest 20% of Readers, Speech, Language and Communication barriers, EAL and those children having additional support from outside agencies, strengthening families / young carers etc.</w:t>
            </w:r>
          </w:p>
          <w:p w14:paraId="5EC1918B" w14:textId="77777777" w:rsidR="00BE188C" w:rsidRPr="00BE188C" w:rsidRDefault="00BE188C" w:rsidP="00334AA7">
            <w:pPr>
              <w:spacing w:after="0" w:line="240" w:lineRule="auto"/>
              <w:rPr>
                <w:rFonts w:cs="Arial"/>
                <w:sz w:val="20"/>
                <w:szCs w:val="20"/>
              </w:rPr>
            </w:pPr>
            <w:r w:rsidRPr="00BE188C">
              <w:rPr>
                <w:rFonts w:cs="Arial"/>
                <w:sz w:val="20"/>
                <w:szCs w:val="20"/>
              </w:rPr>
              <w:t>Baseline and termly assessments support the robust scrutiny which regularly reviews the impact of daily targeted intervention and strategies in place to support PP pupils.</w:t>
            </w:r>
          </w:p>
          <w:p w14:paraId="42F97350" w14:textId="77777777" w:rsidR="00BE188C" w:rsidRPr="00BE188C" w:rsidRDefault="00BE188C" w:rsidP="00334AA7">
            <w:pPr>
              <w:spacing w:after="0" w:line="240" w:lineRule="auto"/>
              <w:rPr>
                <w:rFonts w:cs="Arial"/>
                <w:sz w:val="20"/>
                <w:szCs w:val="20"/>
              </w:rPr>
            </w:pPr>
          </w:p>
          <w:p w14:paraId="76C99A87" w14:textId="77777777" w:rsidR="00BE188C" w:rsidRPr="00BE188C" w:rsidRDefault="00BE188C" w:rsidP="00334AA7">
            <w:pPr>
              <w:spacing w:after="0" w:line="240" w:lineRule="auto"/>
              <w:rPr>
                <w:rFonts w:cs="Arial"/>
                <w:sz w:val="20"/>
                <w:szCs w:val="20"/>
              </w:rPr>
            </w:pPr>
            <w:r w:rsidRPr="00BE188C">
              <w:rPr>
                <w:rFonts w:cs="Arial"/>
                <w:sz w:val="20"/>
                <w:szCs w:val="20"/>
              </w:rPr>
              <w:t>To ensure our intent is realised we will:</w:t>
            </w:r>
          </w:p>
          <w:p w14:paraId="2F3A1E69" w14:textId="77777777" w:rsidR="00BE188C" w:rsidRPr="00BE188C" w:rsidRDefault="00BE188C" w:rsidP="00BE188C">
            <w:pPr>
              <w:pStyle w:val="ListParagraph"/>
              <w:numPr>
                <w:ilvl w:val="0"/>
                <w:numId w:val="2"/>
              </w:numPr>
              <w:spacing w:after="0" w:line="240" w:lineRule="auto"/>
              <w:rPr>
                <w:rFonts w:cs="Arial"/>
                <w:sz w:val="20"/>
                <w:szCs w:val="20"/>
              </w:rPr>
            </w:pPr>
            <w:r w:rsidRPr="00BE188C">
              <w:rPr>
                <w:rFonts w:cs="Arial"/>
                <w:sz w:val="20"/>
                <w:szCs w:val="20"/>
              </w:rPr>
              <w:t>Ensure disadvantaged pupils are continuously challenged to close gaps in their learning and attain successfully</w:t>
            </w:r>
          </w:p>
          <w:p w14:paraId="63AD753D" w14:textId="77777777" w:rsidR="00BE188C" w:rsidRPr="00BE188C" w:rsidRDefault="00BE188C" w:rsidP="00BE188C">
            <w:pPr>
              <w:pStyle w:val="ListParagraph"/>
              <w:numPr>
                <w:ilvl w:val="0"/>
                <w:numId w:val="2"/>
              </w:numPr>
              <w:spacing w:after="0" w:line="240" w:lineRule="auto"/>
              <w:rPr>
                <w:rFonts w:cs="Arial"/>
                <w:sz w:val="20"/>
                <w:szCs w:val="20"/>
              </w:rPr>
            </w:pPr>
            <w:r w:rsidRPr="00BE188C">
              <w:rPr>
                <w:rFonts w:cs="Arial"/>
                <w:sz w:val="20"/>
                <w:szCs w:val="20"/>
              </w:rPr>
              <w:t>Ensure quality first teaching is used to ensure the children have the best education we can offer.</w:t>
            </w:r>
          </w:p>
          <w:p w14:paraId="10778FDC" w14:textId="77777777" w:rsidR="00BE188C" w:rsidRPr="00BE188C" w:rsidRDefault="00BE188C" w:rsidP="00BE188C">
            <w:pPr>
              <w:pStyle w:val="ListParagraph"/>
              <w:numPr>
                <w:ilvl w:val="0"/>
                <w:numId w:val="2"/>
              </w:numPr>
              <w:spacing w:after="0" w:line="240" w:lineRule="auto"/>
              <w:rPr>
                <w:rFonts w:cs="Arial"/>
                <w:sz w:val="20"/>
                <w:szCs w:val="20"/>
              </w:rPr>
            </w:pPr>
            <w:r w:rsidRPr="00BE188C">
              <w:rPr>
                <w:rFonts w:cs="Arial"/>
                <w:sz w:val="20"/>
                <w:szCs w:val="20"/>
              </w:rPr>
              <w:t xml:space="preserve">Ensure interventions are effective, with regular reviews and progress tracked.  </w:t>
            </w:r>
          </w:p>
          <w:p w14:paraId="55D6B793" w14:textId="77777777" w:rsidR="00BE188C" w:rsidRPr="00BE188C" w:rsidRDefault="00BE188C" w:rsidP="00BE188C">
            <w:pPr>
              <w:pStyle w:val="ListParagraph"/>
              <w:numPr>
                <w:ilvl w:val="0"/>
                <w:numId w:val="2"/>
              </w:numPr>
              <w:spacing w:after="0" w:line="240" w:lineRule="auto"/>
              <w:rPr>
                <w:rFonts w:cs="Arial"/>
                <w:sz w:val="20"/>
                <w:szCs w:val="20"/>
              </w:rPr>
            </w:pPr>
            <w:r w:rsidRPr="00BE188C">
              <w:rPr>
                <w:rFonts w:cs="Arial"/>
                <w:sz w:val="20"/>
                <w:szCs w:val="20"/>
              </w:rPr>
              <w:t xml:space="preserve">Ensure consistency of approach across the whole school for all staff to be accountable for the outcomes of the disadvantaged children in their care and have the same the aspirations for all their pupils to achieve success </w:t>
            </w:r>
          </w:p>
          <w:p w14:paraId="16CD343A" w14:textId="254D58D8" w:rsidR="00BE188C" w:rsidRPr="00BE188C" w:rsidRDefault="00BE188C" w:rsidP="00BE188C">
            <w:pPr>
              <w:pStyle w:val="ListParagraph"/>
              <w:numPr>
                <w:ilvl w:val="0"/>
                <w:numId w:val="2"/>
              </w:numPr>
              <w:spacing w:after="0" w:line="240" w:lineRule="auto"/>
              <w:rPr>
                <w:rFonts w:cs="Arial"/>
                <w:sz w:val="20"/>
                <w:szCs w:val="20"/>
              </w:rPr>
            </w:pPr>
            <w:r w:rsidRPr="00BE188C">
              <w:rPr>
                <w:sz w:val="20"/>
                <w:szCs w:val="20"/>
              </w:rPr>
              <w:t>To support our children’s health and wellbeing to enable them to access and enjoy learning.</w:t>
            </w:r>
          </w:p>
        </w:tc>
      </w:tr>
    </w:tbl>
    <w:p w14:paraId="0C621DAF" w14:textId="77777777" w:rsidR="00BE188C" w:rsidRPr="00BE188C" w:rsidRDefault="00BE188C" w:rsidP="00BE188C">
      <w:pPr>
        <w:spacing w:after="0" w:line="240" w:lineRule="auto"/>
        <w:rPr>
          <w:b/>
          <w:bCs/>
          <w:color w:val="002060"/>
          <w:sz w:val="32"/>
          <w:szCs w:val="32"/>
        </w:rPr>
      </w:pPr>
    </w:p>
    <w:p w14:paraId="1C4EA176" w14:textId="77777777" w:rsidR="00BE188C" w:rsidRPr="008B13D7" w:rsidRDefault="00BE188C" w:rsidP="00BE188C">
      <w:pPr>
        <w:pStyle w:val="Heading2"/>
        <w:spacing w:before="0" w:after="0"/>
        <w:rPr>
          <w:rFonts w:ascii="Arial" w:hAnsi="Arial" w:cs="Arial"/>
          <w:b/>
          <w:bCs/>
          <w:sz w:val="24"/>
          <w:szCs w:val="24"/>
        </w:rPr>
      </w:pPr>
      <w:r w:rsidRPr="008B13D7">
        <w:rPr>
          <w:rFonts w:ascii="Arial" w:hAnsi="Arial" w:cs="Arial"/>
          <w:b/>
          <w:bCs/>
          <w:sz w:val="24"/>
          <w:szCs w:val="24"/>
        </w:rPr>
        <w:t>Challenges</w:t>
      </w:r>
    </w:p>
    <w:p w14:paraId="0F94E3C4" w14:textId="77777777" w:rsidR="00BE188C" w:rsidRPr="00BE188C" w:rsidRDefault="00BE188C" w:rsidP="00BE188C">
      <w:pPr>
        <w:spacing w:after="0" w:line="240" w:lineRule="auto"/>
        <w:rPr>
          <w:sz w:val="20"/>
          <w:szCs w:val="20"/>
        </w:rPr>
      </w:pPr>
      <w:r w:rsidRPr="00BE188C">
        <w:rPr>
          <w:bCs/>
          <w:sz w:val="20"/>
          <w:szCs w:val="20"/>
        </w:rPr>
        <w:t>This details</w:t>
      </w:r>
      <w:r w:rsidRPr="00BE188C">
        <w:rPr>
          <w:sz w:val="20"/>
          <w:szCs w:val="20"/>
        </w:rPr>
        <w:t xml:space="preserve"> the key</w:t>
      </w:r>
      <w:r w:rsidRPr="00BE188C">
        <w:rPr>
          <w:bCs/>
          <w:sz w:val="20"/>
          <w:szCs w:val="20"/>
        </w:rPr>
        <w:t xml:space="preserve"> </w:t>
      </w:r>
      <w:r w:rsidRPr="00BE188C">
        <w:rPr>
          <w:sz w:val="20"/>
          <w:szCs w:val="20"/>
        </w:rPr>
        <w:t xml:space="preserve">challenges to </w:t>
      </w:r>
      <w:r w:rsidRPr="00BE188C">
        <w:rPr>
          <w:bCs/>
          <w:sz w:val="20"/>
          <w:szCs w:val="20"/>
        </w:rPr>
        <w:t>achievement that we have</w:t>
      </w:r>
      <w:r w:rsidRPr="00BE188C">
        <w:rPr>
          <w:sz w:val="20"/>
          <w:szCs w:val="20"/>
        </w:rPr>
        <w:t xml:space="preserve"> identified among </w:t>
      </w:r>
      <w:r w:rsidRPr="00BE188C">
        <w:rPr>
          <w:bCs/>
          <w:sz w:val="20"/>
          <w:szCs w:val="20"/>
        </w:rPr>
        <w:t>our</w:t>
      </w:r>
      <w:r w:rsidRPr="00BE188C">
        <w:rPr>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BE188C" w:rsidRPr="00BE188C" w14:paraId="6AB0D448" w14:textId="77777777" w:rsidTr="00334AA7">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DF29D02" w14:textId="77777777" w:rsidR="00BE188C" w:rsidRPr="00BE188C" w:rsidRDefault="00BE188C" w:rsidP="00334AA7">
            <w:pPr>
              <w:pStyle w:val="TableHeader"/>
              <w:spacing w:before="0" w:after="0"/>
              <w:jc w:val="left"/>
              <w:rPr>
                <w:sz w:val="20"/>
                <w:szCs w:val="20"/>
              </w:rPr>
            </w:pPr>
            <w:r w:rsidRPr="00BE188C">
              <w:rPr>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F7E4884" w14:textId="77777777" w:rsidR="00BE188C" w:rsidRPr="00BE188C" w:rsidRDefault="00BE188C" w:rsidP="00334AA7">
            <w:pPr>
              <w:pStyle w:val="TableHeader"/>
              <w:spacing w:before="0" w:after="0"/>
              <w:jc w:val="left"/>
              <w:rPr>
                <w:sz w:val="20"/>
                <w:szCs w:val="20"/>
              </w:rPr>
            </w:pPr>
            <w:r w:rsidRPr="00BE188C">
              <w:rPr>
                <w:sz w:val="20"/>
                <w:szCs w:val="20"/>
              </w:rPr>
              <w:t xml:space="preserve">Detail of challenge </w:t>
            </w:r>
          </w:p>
        </w:tc>
      </w:tr>
      <w:tr w:rsidR="00BE188C" w:rsidRPr="00BE188C" w14:paraId="2D54A0F4" w14:textId="77777777" w:rsidTr="00334AA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CB051" w14:textId="77777777" w:rsidR="00BE188C" w:rsidRPr="00BE188C" w:rsidRDefault="00BE188C" w:rsidP="00334AA7">
            <w:pPr>
              <w:pStyle w:val="TableRow"/>
              <w:spacing w:before="0" w:after="0"/>
              <w:rPr>
                <w:b/>
                <w:bCs/>
                <w:sz w:val="20"/>
                <w:szCs w:val="20"/>
              </w:rPr>
            </w:pPr>
            <w:r w:rsidRPr="00BE188C">
              <w:rPr>
                <w:b/>
                <w:bCs/>
                <w:sz w:val="20"/>
                <w:szCs w:val="20"/>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C4F3" w14:textId="77777777" w:rsidR="00BE188C" w:rsidRPr="00BE188C" w:rsidRDefault="00BE188C" w:rsidP="00334AA7">
            <w:pPr>
              <w:pStyle w:val="TableRowCentered"/>
              <w:spacing w:before="0" w:after="0"/>
              <w:jc w:val="left"/>
              <w:rPr>
                <w:sz w:val="20"/>
              </w:rPr>
            </w:pPr>
            <w:r w:rsidRPr="00BE188C">
              <w:rPr>
                <w:sz w:val="20"/>
              </w:rPr>
              <w:t>Improve language and Communication skills and outcomes of pupil premium pupils from their start in EYFS.</w:t>
            </w:r>
          </w:p>
        </w:tc>
      </w:tr>
      <w:tr w:rsidR="00BE188C" w:rsidRPr="00BE188C" w14:paraId="24DBC2B2" w14:textId="77777777" w:rsidTr="00334AA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8217" w14:textId="77777777" w:rsidR="00BE188C" w:rsidRPr="00BE188C" w:rsidRDefault="00BE188C" w:rsidP="00334AA7">
            <w:pPr>
              <w:pStyle w:val="TableRow"/>
              <w:spacing w:before="0" w:after="0"/>
              <w:rPr>
                <w:b/>
                <w:bCs/>
                <w:sz w:val="20"/>
                <w:szCs w:val="20"/>
              </w:rPr>
            </w:pPr>
            <w:r w:rsidRPr="00BE188C">
              <w:rPr>
                <w:b/>
                <w:bCs/>
                <w:sz w:val="20"/>
                <w:szCs w:val="20"/>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E70D7" w14:textId="77777777" w:rsidR="00BE188C" w:rsidRPr="00BE188C" w:rsidRDefault="00BE188C" w:rsidP="00334AA7">
            <w:pPr>
              <w:pStyle w:val="TableRowCentered"/>
              <w:spacing w:before="0" w:after="0"/>
              <w:jc w:val="left"/>
              <w:rPr>
                <w:sz w:val="20"/>
              </w:rPr>
            </w:pPr>
            <w:r w:rsidRPr="00BE188C">
              <w:rPr>
                <w:sz w:val="20"/>
              </w:rPr>
              <w:t>Improve the acquisition and use of subject specific vocabulary in all subject areas for disadvantaged pupils.</w:t>
            </w:r>
          </w:p>
        </w:tc>
      </w:tr>
      <w:tr w:rsidR="00BE188C" w:rsidRPr="00BE188C" w14:paraId="116E375C" w14:textId="77777777" w:rsidTr="00334AA7">
        <w:trPr>
          <w:trHeight w:val="321"/>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F14C" w14:textId="77777777" w:rsidR="00BE188C" w:rsidRPr="00BE188C" w:rsidRDefault="00BE188C" w:rsidP="00334AA7">
            <w:pPr>
              <w:pStyle w:val="TableRow"/>
              <w:spacing w:before="0" w:after="0"/>
              <w:rPr>
                <w:b/>
                <w:bCs/>
                <w:sz w:val="20"/>
                <w:szCs w:val="20"/>
              </w:rPr>
            </w:pPr>
            <w:r w:rsidRPr="00BE188C">
              <w:rPr>
                <w:b/>
                <w:bCs/>
                <w:sz w:val="20"/>
                <w:szCs w:val="20"/>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A0CA" w14:textId="77777777" w:rsidR="00BE188C" w:rsidRPr="00BE188C" w:rsidRDefault="00BE188C" w:rsidP="00334AA7">
            <w:pPr>
              <w:pStyle w:val="TableRowCentered"/>
              <w:spacing w:before="0" w:after="0"/>
              <w:jc w:val="left"/>
              <w:rPr>
                <w:sz w:val="20"/>
              </w:rPr>
            </w:pPr>
            <w:r w:rsidRPr="00BE188C">
              <w:rPr>
                <w:sz w:val="20"/>
              </w:rPr>
              <w:t xml:space="preserve">Narrow the gap of pupil premium pupils in Reception achieving GLD </w:t>
            </w:r>
          </w:p>
        </w:tc>
      </w:tr>
      <w:tr w:rsidR="00BE188C" w:rsidRPr="00BE188C" w14:paraId="3C671A6C" w14:textId="77777777" w:rsidTr="00334AA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6CF5" w14:textId="77777777" w:rsidR="00BE188C" w:rsidRPr="00BE188C" w:rsidRDefault="00BE188C" w:rsidP="00334AA7">
            <w:pPr>
              <w:pStyle w:val="TableRow"/>
              <w:spacing w:before="0" w:after="0"/>
              <w:rPr>
                <w:b/>
                <w:bCs/>
                <w:sz w:val="20"/>
                <w:szCs w:val="20"/>
              </w:rPr>
            </w:pPr>
            <w:r w:rsidRPr="00BE188C">
              <w:rPr>
                <w:b/>
                <w:bCs/>
                <w:sz w:val="20"/>
                <w:szCs w:val="20"/>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D71B" w14:textId="77777777" w:rsidR="00BE188C" w:rsidRPr="00BE188C" w:rsidRDefault="00BE188C" w:rsidP="00334AA7">
            <w:pPr>
              <w:pStyle w:val="TableRowCentered"/>
              <w:spacing w:before="0" w:after="0"/>
              <w:jc w:val="left"/>
              <w:rPr>
                <w:sz w:val="20"/>
              </w:rPr>
            </w:pPr>
            <w:r w:rsidRPr="00BE188C">
              <w:rPr>
                <w:sz w:val="20"/>
              </w:rPr>
              <w:t xml:space="preserve">Narrow the attainment gap of pupil premium pupils across the school in Reading, Writing, Maths. </w:t>
            </w:r>
            <w:r w:rsidRPr="00BE188C">
              <w:rPr>
                <w:i/>
                <w:iCs/>
                <w:sz w:val="20"/>
              </w:rPr>
              <w:t>(All Year groups from Yr1 to Yr6)</w:t>
            </w:r>
            <w:r w:rsidRPr="00BE188C">
              <w:rPr>
                <w:sz w:val="20"/>
              </w:rPr>
              <w:t xml:space="preserve"> (Main focus in 2024-2025 on writing as this was our area for development from the previous year)</w:t>
            </w:r>
          </w:p>
        </w:tc>
      </w:tr>
      <w:tr w:rsidR="00BE188C" w:rsidRPr="00BE188C" w14:paraId="2A561E7C" w14:textId="77777777" w:rsidTr="00334AA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8590" w14:textId="77777777" w:rsidR="00BE188C" w:rsidRPr="00BE188C" w:rsidRDefault="00BE188C" w:rsidP="00334AA7">
            <w:pPr>
              <w:pStyle w:val="TableRow"/>
              <w:spacing w:before="0" w:after="0"/>
              <w:rPr>
                <w:b/>
                <w:bCs/>
                <w:sz w:val="20"/>
                <w:szCs w:val="20"/>
              </w:rPr>
            </w:pPr>
            <w:r w:rsidRPr="00BE188C">
              <w:rPr>
                <w:b/>
                <w:bCs/>
                <w:sz w:val="20"/>
                <w:szCs w:val="20"/>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C778" w14:textId="77777777" w:rsidR="00BE188C" w:rsidRPr="00BE188C" w:rsidRDefault="00BE188C" w:rsidP="00334AA7">
            <w:pPr>
              <w:pStyle w:val="TableRowCentered"/>
              <w:spacing w:before="0" w:after="0"/>
              <w:jc w:val="left"/>
              <w:rPr>
                <w:sz w:val="20"/>
              </w:rPr>
            </w:pPr>
            <w:r w:rsidRPr="00BE188C">
              <w:rPr>
                <w:sz w:val="20"/>
              </w:rPr>
              <w:t>Narrow the gap of pupil premium pupils in Year 1 achieving the national standard in the Phonics Screening</w:t>
            </w:r>
          </w:p>
        </w:tc>
      </w:tr>
      <w:tr w:rsidR="00BE188C" w:rsidRPr="00BE188C" w14:paraId="0CEF7080" w14:textId="77777777" w:rsidTr="00334AA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C575C" w14:textId="77777777" w:rsidR="00BE188C" w:rsidRPr="00BE188C" w:rsidRDefault="00BE188C" w:rsidP="00334AA7">
            <w:pPr>
              <w:pStyle w:val="TableRow"/>
              <w:spacing w:before="0" w:after="0"/>
              <w:rPr>
                <w:b/>
                <w:bCs/>
                <w:sz w:val="20"/>
                <w:szCs w:val="20"/>
              </w:rPr>
            </w:pPr>
            <w:r w:rsidRPr="00BE188C">
              <w:rPr>
                <w:b/>
                <w:bCs/>
                <w:sz w:val="20"/>
                <w:szCs w:val="20"/>
              </w:rPr>
              <w:t xml:space="preserve">6. </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35DE" w14:textId="77777777" w:rsidR="00BE188C" w:rsidRPr="00BE188C" w:rsidRDefault="00BE188C" w:rsidP="00334AA7">
            <w:pPr>
              <w:pStyle w:val="TableRowCentered"/>
              <w:spacing w:before="0" w:after="0"/>
              <w:jc w:val="left"/>
              <w:rPr>
                <w:sz w:val="20"/>
              </w:rPr>
            </w:pPr>
            <w:r w:rsidRPr="00BE188C">
              <w:rPr>
                <w:sz w:val="20"/>
              </w:rPr>
              <w:t xml:space="preserve">Increase the percentage of pupil premium pupils in achieving fluent recall of their multiplication tables. </w:t>
            </w:r>
            <w:r w:rsidRPr="00BE188C">
              <w:rPr>
                <w:i/>
                <w:iCs/>
                <w:sz w:val="20"/>
              </w:rPr>
              <w:t>(Target Yr4 - multiplication check)</w:t>
            </w:r>
            <w:r w:rsidRPr="00BE188C">
              <w:rPr>
                <w:sz w:val="20"/>
              </w:rPr>
              <w:t xml:space="preserve">  </w:t>
            </w:r>
          </w:p>
        </w:tc>
      </w:tr>
      <w:tr w:rsidR="00BE188C" w:rsidRPr="00BE188C" w14:paraId="1625DF13" w14:textId="77777777" w:rsidTr="00334AA7">
        <w:trPr>
          <w:trHeight w:val="330"/>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B92B9" w14:textId="77777777" w:rsidR="00BE188C" w:rsidRPr="00BE188C" w:rsidRDefault="00BE188C" w:rsidP="00334AA7">
            <w:pPr>
              <w:pStyle w:val="TableRow"/>
              <w:spacing w:before="0" w:after="0"/>
              <w:rPr>
                <w:b/>
                <w:bCs/>
                <w:sz w:val="20"/>
                <w:szCs w:val="20"/>
              </w:rPr>
            </w:pPr>
            <w:r w:rsidRPr="00BE188C">
              <w:rPr>
                <w:b/>
                <w:bCs/>
                <w:sz w:val="20"/>
                <w:szCs w:val="20"/>
              </w:rPr>
              <w:t xml:space="preserve">7. </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8B433" w14:textId="77777777" w:rsidR="00BE188C" w:rsidRPr="00BE188C" w:rsidRDefault="00BE188C" w:rsidP="00334AA7">
            <w:pPr>
              <w:pStyle w:val="TableRowCentered"/>
              <w:spacing w:before="0" w:after="0"/>
              <w:jc w:val="left"/>
              <w:rPr>
                <w:iCs/>
                <w:sz w:val="20"/>
              </w:rPr>
            </w:pPr>
            <w:r w:rsidRPr="00BE188C">
              <w:rPr>
                <w:iCs/>
                <w:sz w:val="20"/>
              </w:rPr>
              <w:t>Increase parental engagement and support from home of pupil premium pupils</w:t>
            </w:r>
          </w:p>
        </w:tc>
      </w:tr>
    </w:tbl>
    <w:p w14:paraId="43E94132" w14:textId="77777777" w:rsidR="009345B4" w:rsidRDefault="009345B4" w:rsidP="00BE188C">
      <w:pPr>
        <w:pStyle w:val="Heading2"/>
        <w:spacing w:before="0" w:after="0"/>
        <w:rPr>
          <w:rFonts w:ascii="Arial" w:hAnsi="Arial" w:cs="Arial"/>
          <w:b/>
          <w:bCs/>
          <w:sz w:val="24"/>
          <w:szCs w:val="24"/>
        </w:rPr>
      </w:pPr>
    </w:p>
    <w:p w14:paraId="7CF58527" w14:textId="77777777" w:rsidR="00B9103D" w:rsidRDefault="00B9103D" w:rsidP="00B9103D"/>
    <w:p w14:paraId="56A6C285" w14:textId="77777777" w:rsidR="00B9103D" w:rsidRDefault="00B9103D" w:rsidP="00B9103D"/>
    <w:p w14:paraId="36F3944B" w14:textId="77777777" w:rsidR="00B9103D" w:rsidRDefault="00B9103D" w:rsidP="00B9103D"/>
    <w:p w14:paraId="0B6B3F8A" w14:textId="77777777" w:rsidR="00B9103D" w:rsidRPr="00B9103D" w:rsidRDefault="00B9103D" w:rsidP="00B9103D"/>
    <w:p w14:paraId="48204E84" w14:textId="3F5F3E63" w:rsidR="00BE188C" w:rsidRPr="008B13D7" w:rsidRDefault="00BE188C" w:rsidP="00BE188C">
      <w:pPr>
        <w:pStyle w:val="Heading2"/>
        <w:spacing w:before="0" w:after="0"/>
        <w:rPr>
          <w:rFonts w:ascii="Arial" w:hAnsi="Arial" w:cs="Arial"/>
          <w:b/>
          <w:bCs/>
          <w:sz w:val="24"/>
          <w:szCs w:val="24"/>
        </w:rPr>
      </w:pPr>
      <w:r w:rsidRPr="008B13D7">
        <w:rPr>
          <w:rFonts w:ascii="Arial" w:hAnsi="Arial" w:cs="Arial"/>
          <w:b/>
          <w:bCs/>
          <w:sz w:val="24"/>
          <w:szCs w:val="24"/>
        </w:rPr>
        <w:lastRenderedPageBreak/>
        <w:t xml:space="preserve">Intended Outcomes </w:t>
      </w:r>
    </w:p>
    <w:p w14:paraId="1A70EB35" w14:textId="77777777" w:rsidR="00BE188C" w:rsidRPr="00BE188C" w:rsidRDefault="00BE188C" w:rsidP="00BE188C">
      <w:pPr>
        <w:spacing w:after="0" w:line="240" w:lineRule="auto"/>
        <w:rPr>
          <w:sz w:val="20"/>
          <w:szCs w:val="20"/>
        </w:rPr>
      </w:pPr>
      <w:r w:rsidRPr="00BE188C">
        <w:rPr>
          <w:color w:val="auto"/>
          <w:sz w:val="20"/>
          <w:szCs w:val="20"/>
        </w:rPr>
        <w:t xml:space="preserve">This explains the outcomes we are aiming for </w:t>
      </w:r>
      <w:r w:rsidRPr="00BE188C">
        <w:rPr>
          <w:b/>
          <w:bCs/>
          <w:color w:val="auto"/>
          <w:sz w:val="20"/>
          <w:szCs w:val="20"/>
        </w:rPr>
        <w:t>by the end of our current strategy plan</w:t>
      </w:r>
      <w:r w:rsidRPr="00BE188C">
        <w:rPr>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BE188C" w:rsidRPr="00BE188C" w14:paraId="32350894" w14:textId="77777777" w:rsidTr="00B86D92">
        <w:tc>
          <w:tcPr>
            <w:tcW w:w="530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8FC0E24" w14:textId="77777777" w:rsidR="00BE188C" w:rsidRPr="00BE188C" w:rsidRDefault="00BE188C" w:rsidP="00334AA7">
            <w:pPr>
              <w:pStyle w:val="TableHeader"/>
              <w:spacing w:before="0" w:after="0"/>
              <w:jc w:val="left"/>
              <w:rPr>
                <w:sz w:val="20"/>
                <w:szCs w:val="20"/>
              </w:rPr>
            </w:pPr>
            <w:r w:rsidRPr="00BE188C">
              <w:rPr>
                <w:sz w:val="20"/>
                <w:szCs w:val="20"/>
              </w:rPr>
              <w:t>Intended outcome</w:t>
            </w:r>
          </w:p>
        </w:tc>
        <w:tc>
          <w:tcPr>
            <w:tcW w:w="51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8B77CA0" w14:textId="77777777" w:rsidR="00BE188C" w:rsidRPr="00BE188C" w:rsidRDefault="00BE188C" w:rsidP="00334AA7">
            <w:pPr>
              <w:pStyle w:val="TableHeader"/>
              <w:spacing w:before="0" w:after="0"/>
              <w:jc w:val="left"/>
              <w:rPr>
                <w:sz w:val="20"/>
                <w:szCs w:val="20"/>
              </w:rPr>
            </w:pPr>
            <w:r w:rsidRPr="00BE188C">
              <w:rPr>
                <w:sz w:val="20"/>
                <w:szCs w:val="20"/>
              </w:rPr>
              <w:t>Success criteria</w:t>
            </w:r>
          </w:p>
        </w:tc>
      </w:tr>
      <w:tr w:rsidR="00B86D92" w:rsidRPr="00BE188C" w14:paraId="369BCB37" w14:textId="77777777" w:rsidTr="00B86D92">
        <w:trPr>
          <w:trHeight w:val="448"/>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D262" w14:textId="01B4E304" w:rsidR="00B86D92" w:rsidRPr="00BE188C" w:rsidRDefault="0089347E" w:rsidP="00B86D92">
            <w:pPr>
              <w:pStyle w:val="TableRow"/>
              <w:spacing w:before="0" w:after="0"/>
              <w:rPr>
                <w:sz w:val="20"/>
                <w:szCs w:val="20"/>
              </w:rPr>
            </w:pPr>
            <w:r>
              <w:rPr>
                <w:sz w:val="20"/>
                <w:szCs w:val="20"/>
              </w:rPr>
              <w:t xml:space="preserve">By the end of Reception, pupil premium </w:t>
            </w:r>
            <w:r w:rsidR="00BD54AB">
              <w:rPr>
                <w:sz w:val="20"/>
                <w:szCs w:val="20"/>
              </w:rPr>
              <w:t>pupils demonstrate improved oral language and communication skills, evidenced by progress on baseline and termly assessments.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D16B" w14:textId="496FDA22" w:rsidR="00B86D92" w:rsidRPr="00BE188C" w:rsidRDefault="00B86D92" w:rsidP="00B86D92">
            <w:pPr>
              <w:pStyle w:val="TableRowCentered"/>
              <w:spacing w:before="0" w:after="0"/>
              <w:jc w:val="left"/>
              <w:rPr>
                <w:sz w:val="20"/>
              </w:rPr>
            </w:pPr>
            <w:r>
              <w:rPr>
                <w:sz w:val="20"/>
              </w:rPr>
              <w:t>At least 80% of identified PP pupils will meet age-related expectations in Communication and Language strands of the EYFS.</w:t>
            </w:r>
          </w:p>
        </w:tc>
      </w:tr>
      <w:tr w:rsidR="00B86D92" w:rsidRPr="00BE188C" w14:paraId="169DADFE" w14:textId="77777777" w:rsidTr="00B86D92">
        <w:trPr>
          <w:trHeight w:val="448"/>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FD28D" w14:textId="16A4BBAD" w:rsidR="00B86D92" w:rsidRPr="00BE188C" w:rsidRDefault="00CF3623" w:rsidP="00B86D92">
            <w:pPr>
              <w:pStyle w:val="TableRow"/>
              <w:spacing w:before="0" w:after="0"/>
              <w:rPr>
                <w:sz w:val="20"/>
                <w:szCs w:val="20"/>
              </w:rPr>
            </w:pPr>
            <w:r>
              <w:rPr>
                <w:sz w:val="20"/>
                <w:szCs w:val="20"/>
              </w:rPr>
              <w:t xml:space="preserve">Pupil Premium pupils consistently use subject-specific vocabulary in oral and written work across all subjects. </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D2F54" w14:textId="63101521" w:rsidR="00B86D92" w:rsidRPr="00BE188C" w:rsidRDefault="00B86D92" w:rsidP="00B86D92">
            <w:pPr>
              <w:pStyle w:val="TableRowCentered"/>
              <w:spacing w:before="0" w:after="0"/>
              <w:jc w:val="left"/>
              <w:rPr>
                <w:sz w:val="20"/>
              </w:rPr>
            </w:pPr>
            <w:r>
              <w:rPr>
                <w:sz w:val="20"/>
              </w:rPr>
              <w:t xml:space="preserve">Vocabulary assessments and book scrutiny show clear progression and consistent, accurate use of topic specific vocabulary for PP pupils. </w:t>
            </w:r>
          </w:p>
        </w:tc>
      </w:tr>
      <w:tr w:rsidR="00B86D92" w:rsidRPr="00BE188C" w14:paraId="327F27C1" w14:textId="77777777" w:rsidTr="00B86D92">
        <w:trPr>
          <w:trHeight w:val="448"/>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A225" w14:textId="1375B911" w:rsidR="00B86D92" w:rsidRPr="00BE188C" w:rsidRDefault="00B86D92" w:rsidP="00B86D92">
            <w:pPr>
              <w:pStyle w:val="TableRow"/>
              <w:spacing w:before="0" w:after="0"/>
              <w:rPr>
                <w:sz w:val="20"/>
                <w:szCs w:val="20"/>
              </w:rPr>
            </w:pPr>
            <w:r>
              <w:rPr>
                <w:sz w:val="20"/>
                <w:szCs w:val="20"/>
              </w:rPr>
              <w:t xml:space="preserve">Increase the </w:t>
            </w:r>
            <w:r w:rsidR="00CF3623">
              <w:rPr>
                <w:sz w:val="20"/>
                <w:szCs w:val="20"/>
              </w:rPr>
              <w:t>percentage of PP pupils achieving a Good Level of Development at the end of EYFS</w:t>
            </w:r>
            <w:r w:rsidR="00BD54AB">
              <w:rPr>
                <w:sz w:val="20"/>
                <w:szCs w:val="20"/>
              </w:rPr>
              <w:t>.</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13A1C" w14:textId="7B077777" w:rsidR="00B86D92" w:rsidRPr="00BE188C" w:rsidRDefault="00B86D92" w:rsidP="00B86D92">
            <w:pPr>
              <w:pStyle w:val="TableRowCentered"/>
              <w:spacing w:before="0" w:after="0"/>
              <w:jc w:val="left"/>
              <w:rPr>
                <w:sz w:val="20"/>
              </w:rPr>
            </w:pPr>
            <w:r>
              <w:rPr>
                <w:sz w:val="20"/>
              </w:rPr>
              <w:t>GLD attainment for PP pupils improves by at least 10% year-on-year, reducing the gap with non-PP pupils.</w:t>
            </w:r>
          </w:p>
        </w:tc>
      </w:tr>
      <w:tr w:rsidR="00B86D92" w:rsidRPr="00BE188C" w14:paraId="2F54E405" w14:textId="77777777" w:rsidTr="00B86D92">
        <w:trPr>
          <w:trHeight w:val="465"/>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4D9F3" w14:textId="56FA321E" w:rsidR="00B86D92" w:rsidRPr="00BE188C" w:rsidRDefault="00721ED6" w:rsidP="00B86D92">
            <w:pPr>
              <w:pStyle w:val="TableRow"/>
              <w:spacing w:before="0" w:after="0"/>
              <w:rPr>
                <w:sz w:val="20"/>
                <w:szCs w:val="20"/>
              </w:rPr>
            </w:pPr>
            <w:r>
              <w:rPr>
                <w:sz w:val="20"/>
                <w:szCs w:val="20"/>
              </w:rPr>
              <w:t xml:space="preserve">PP pupils’ </w:t>
            </w:r>
            <w:r w:rsidR="0083111E">
              <w:rPr>
                <w:sz w:val="20"/>
                <w:szCs w:val="20"/>
              </w:rPr>
              <w:t>make accelerated progress in Reading, Writing and Maths</w:t>
            </w:r>
            <w:r w:rsidR="00327B48">
              <w:rPr>
                <w:sz w:val="20"/>
                <w:szCs w:val="20"/>
              </w:rPr>
              <w:t xml:space="preserve">, with writing as a priority. </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1A04" w14:textId="64A4061E" w:rsidR="00B86D92" w:rsidRPr="00BE188C" w:rsidRDefault="00F20BC9" w:rsidP="00F20BC9">
            <w:pPr>
              <w:pStyle w:val="TableRowCentered"/>
              <w:spacing w:before="0" w:after="0"/>
              <w:ind w:left="0"/>
              <w:jc w:val="left"/>
              <w:rPr>
                <w:sz w:val="20"/>
              </w:rPr>
            </w:pPr>
            <w:r>
              <w:rPr>
                <w:sz w:val="20"/>
              </w:rPr>
              <w:t xml:space="preserve">PP pupils’ attainment in </w:t>
            </w:r>
            <w:r w:rsidR="00AD2FAC">
              <w:rPr>
                <w:sz w:val="20"/>
              </w:rPr>
              <w:t>W</w:t>
            </w:r>
            <w:r>
              <w:rPr>
                <w:sz w:val="20"/>
              </w:rPr>
              <w:t xml:space="preserve">riting </w:t>
            </w:r>
            <w:r w:rsidR="00AD2FAC">
              <w:rPr>
                <w:sz w:val="20"/>
              </w:rPr>
              <w:t>at KS2 improves by at least 5% in each year group compared to previous year.</w:t>
            </w:r>
          </w:p>
        </w:tc>
      </w:tr>
      <w:tr w:rsidR="00B86D92" w:rsidRPr="00BE188C" w14:paraId="5EB7FA9E" w14:textId="77777777" w:rsidTr="00B86D92">
        <w:trPr>
          <w:trHeight w:val="503"/>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621D" w14:textId="41CCC345" w:rsidR="00B86D92" w:rsidRPr="00BE188C" w:rsidRDefault="0011595B" w:rsidP="00B86D92">
            <w:pPr>
              <w:pStyle w:val="TableRow"/>
              <w:spacing w:before="0" w:after="0"/>
              <w:rPr>
                <w:sz w:val="20"/>
                <w:szCs w:val="20"/>
              </w:rPr>
            </w:pPr>
            <w:r>
              <w:rPr>
                <w:sz w:val="20"/>
                <w:szCs w:val="20"/>
              </w:rPr>
              <w:t xml:space="preserve">Increase the percentage of PP pupils achieving </w:t>
            </w:r>
            <w:r w:rsidR="009D2607">
              <w:rPr>
                <w:sz w:val="20"/>
                <w:szCs w:val="20"/>
              </w:rPr>
              <w:t xml:space="preserve">the national standard </w:t>
            </w:r>
            <w:r w:rsidR="00B430F5">
              <w:rPr>
                <w:sz w:val="20"/>
                <w:szCs w:val="20"/>
              </w:rPr>
              <w:t xml:space="preserve">in Year 1 Phonics Screening. </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EB9E" w14:textId="19A143B2" w:rsidR="00B86D92" w:rsidRPr="00BE188C" w:rsidRDefault="00063854" w:rsidP="00063854">
            <w:pPr>
              <w:pStyle w:val="TableRowCentered"/>
              <w:spacing w:before="0" w:after="0"/>
              <w:ind w:left="0"/>
              <w:jc w:val="left"/>
              <w:rPr>
                <w:sz w:val="20"/>
              </w:rPr>
            </w:pPr>
            <w:r>
              <w:rPr>
                <w:sz w:val="20"/>
              </w:rPr>
              <w:t xml:space="preserve">At least </w:t>
            </w:r>
            <w:r w:rsidR="009F0173">
              <w:rPr>
                <w:sz w:val="20"/>
              </w:rPr>
              <w:t>80% pf PP pupils meet the phonics threshold by the end of Year 1.</w:t>
            </w:r>
          </w:p>
        </w:tc>
      </w:tr>
      <w:tr w:rsidR="00B86D92" w:rsidRPr="00BE188C" w14:paraId="7D0099F1" w14:textId="77777777" w:rsidTr="00B86D92">
        <w:trPr>
          <w:trHeight w:val="359"/>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660A8" w14:textId="57B89DF6" w:rsidR="00B86D92" w:rsidRPr="00BE188C" w:rsidRDefault="00C46256" w:rsidP="00B86D92">
            <w:pPr>
              <w:pStyle w:val="TableRow"/>
              <w:spacing w:before="0" w:after="0"/>
              <w:rPr>
                <w:sz w:val="20"/>
                <w:szCs w:val="20"/>
              </w:rPr>
            </w:pPr>
            <w:r>
              <w:rPr>
                <w:sz w:val="20"/>
                <w:szCs w:val="20"/>
              </w:rPr>
              <w:t>PP pupils achieve fluency in multiplication tables by Year 4.</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DE08" w14:textId="40B955E7" w:rsidR="00B86D92" w:rsidRPr="00BE188C" w:rsidRDefault="005F7750" w:rsidP="005F7750">
            <w:pPr>
              <w:pStyle w:val="TableRowCentered"/>
              <w:spacing w:before="0" w:after="0"/>
              <w:ind w:left="0"/>
              <w:jc w:val="left"/>
              <w:rPr>
                <w:sz w:val="20"/>
              </w:rPr>
            </w:pPr>
            <w:r>
              <w:rPr>
                <w:sz w:val="20"/>
              </w:rPr>
              <w:t xml:space="preserve">Average scores for PP pupils </w:t>
            </w:r>
            <w:r w:rsidR="00E52274">
              <w:rPr>
                <w:sz w:val="20"/>
              </w:rPr>
              <w:t>in the</w:t>
            </w:r>
            <w:r>
              <w:rPr>
                <w:sz w:val="20"/>
              </w:rPr>
              <w:t xml:space="preserve"> Yr4 multiplication </w:t>
            </w:r>
            <w:r w:rsidR="00E52274">
              <w:rPr>
                <w:sz w:val="20"/>
              </w:rPr>
              <w:t>check improves, closing the gap with the national average.</w:t>
            </w:r>
          </w:p>
        </w:tc>
      </w:tr>
      <w:tr w:rsidR="00B430F5" w:rsidRPr="00BE188C" w14:paraId="2F750B26" w14:textId="77777777" w:rsidTr="00B86D92">
        <w:trPr>
          <w:trHeight w:val="359"/>
        </w:trPr>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79B8" w14:textId="643C2FA4" w:rsidR="00B430F5" w:rsidRPr="00BE188C" w:rsidRDefault="00E52274" w:rsidP="00B86D92">
            <w:pPr>
              <w:pStyle w:val="TableRow"/>
              <w:spacing w:before="0" w:after="0"/>
              <w:rPr>
                <w:sz w:val="20"/>
                <w:szCs w:val="20"/>
              </w:rPr>
            </w:pPr>
            <w:r>
              <w:rPr>
                <w:sz w:val="20"/>
                <w:szCs w:val="20"/>
              </w:rPr>
              <w:t xml:space="preserve">Parents of PP pupils actively engage in supporting learning through </w:t>
            </w:r>
            <w:r w:rsidR="00B71892">
              <w:rPr>
                <w:sz w:val="20"/>
                <w:szCs w:val="20"/>
              </w:rPr>
              <w:t>at home through school led initiatives.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6728B" w14:textId="6A9C0125" w:rsidR="00B430F5" w:rsidRPr="00BE188C" w:rsidRDefault="00237925" w:rsidP="00B71892">
            <w:pPr>
              <w:pStyle w:val="TableRowCentered"/>
              <w:spacing w:before="0" w:after="0"/>
              <w:ind w:left="0"/>
              <w:jc w:val="left"/>
              <w:rPr>
                <w:sz w:val="20"/>
              </w:rPr>
            </w:pPr>
            <w:r>
              <w:rPr>
                <w:sz w:val="20"/>
              </w:rPr>
              <w:t xml:space="preserve">Attendance at parent workshops and </w:t>
            </w:r>
            <w:r w:rsidR="00B9103D">
              <w:rPr>
                <w:sz w:val="20"/>
              </w:rPr>
              <w:t>engagement</w:t>
            </w:r>
            <w:r>
              <w:rPr>
                <w:sz w:val="20"/>
              </w:rPr>
              <w:t xml:space="preserve"> </w:t>
            </w:r>
            <w:r w:rsidR="00B9103D">
              <w:rPr>
                <w:sz w:val="20"/>
              </w:rPr>
              <w:t xml:space="preserve">in home learning tasks increases. </w:t>
            </w:r>
          </w:p>
        </w:tc>
      </w:tr>
    </w:tbl>
    <w:p w14:paraId="61E16CE1" w14:textId="77777777" w:rsidR="00B9103D" w:rsidRDefault="00B9103D" w:rsidP="00BE188C">
      <w:pPr>
        <w:pStyle w:val="Heading2"/>
        <w:spacing w:before="0" w:after="0"/>
        <w:rPr>
          <w:rFonts w:ascii="Arial" w:hAnsi="Arial" w:cs="Arial"/>
          <w:b/>
          <w:bCs/>
          <w:sz w:val="24"/>
          <w:szCs w:val="24"/>
        </w:rPr>
      </w:pPr>
    </w:p>
    <w:p w14:paraId="2C0EC67B" w14:textId="7854A240" w:rsidR="00BE188C" w:rsidRPr="008B13D7" w:rsidRDefault="00BE188C" w:rsidP="00BE188C">
      <w:pPr>
        <w:pStyle w:val="Heading2"/>
        <w:spacing w:before="0" w:after="0"/>
        <w:rPr>
          <w:rFonts w:ascii="Arial" w:hAnsi="Arial" w:cs="Arial"/>
          <w:b/>
          <w:bCs/>
          <w:sz w:val="24"/>
          <w:szCs w:val="24"/>
        </w:rPr>
      </w:pPr>
      <w:r w:rsidRPr="008B13D7">
        <w:rPr>
          <w:rFonts w:ascii="Arial" w:hAnsi="Arial" w:cs="Arial"/>
          <w:b/>
          <w:bCs/>
          <w:sz w:val="24"/>
          <w:szCs w:val="24"/>
        </w:rPr>
        <w:t xml:space="preserve">Activity in this </w:t>
      </w:r>
      <w:r w:rsidR="008B13D7" w:rsidRPr="008B13D7">
        <w:rPr>
          <w:rFonts w:ascii="Arial" w:hAnsi="Arial" w:cs="Arial"/>
          <w:b/>
          <w:bCs/>
          <w:sz w:val="24"/>
          <w:szCs w:val="24"/>
        </w:rPr>
        <w:t>A</w:t>
      </w:r>
      <w:r w:rsidRPr="008B13D7">
        <w:rPr>
          <w:rFonts w:ascii="Arial" w:hAnsi="Arial" w:cs="Arial"/>
          <w:b/>
          <w:bCs/>
          <w:sz w:val="24"/>
          <w:szCs w:val="24"/>
        </w:rPr>
        <w:t xml:space="preserve">cademic </w:t>
      </w:r>
      <w:r w:rsidR="008B13D7" w:rsidRPr="008B13D7">
        <w:rPr>
          <w:rFonts w:ascii="Arial" w:hAnsi="Arial" w:cs="Arial"/>
          <w:b/>
          <w:bCs/>
          <w:sz w:val="24"/>
          <w:szCs w:val="24"/>
        </w:rPr>
        <w:t>Y</w:t>
      </w:r>
      <w:r w:rsidRPr="008B13D7">
        <w:rPr>
          <w:rFonts w:ascii="Arial" w:hAnsi="Arial" w:cs="Arial"/>
          <w:b/>
          <w:bCs/>
          <w:sz w:val="24"/>
          <w:szCs w:val="24"/>
        </w:rPr>
        <w:t>ear</w:t>
      </w:r>
    </w:p>
    <w:p w14:paraId="4DE125F7" w14:textId="77777777" w:rsidR="00BE188C" w:rsidRPr="008B13D7" w:rsidRDefault="00BE188C" w:rsidP="00BE188C">
      <w:pPr>
        <w:spacing w:after="0" w:line="240" w:lineRule="auto"/>
        <w:rPr>
          <w:rFonts w:cs="Arial"/>
          <w:sz w:val="20"/>
          <w:szCs w:val="20"/>
        </w:rPr>
      </w:pPr>
      <w:r w:rsidRPr="008B13D7">
        <w:rPr>
          <w:rFonts w:cs="Arial"/>
          <w:sz w:val="20"/>
          <w:szCs w:val="20"/>
        </w:rPr>
        <w:t xml:space="preserve">This details how we intend to spend our pupil premium (and recovery premium) funding </w:t>
      </w:r>
      <w:r w:rsidRPr="008B13D7">
        <w:rPr>
          <w:rFonts w:cs="Arial"/>
          <w:b/>
          <w:bCs/>
          <w:sz w:val="20"/>
          <w:szCs w:val="20"/>
        </w:rPr>
        <w:t>this academic year</w:t>
      </w:r>
      <w:r w:rsidRPr="008B13D7">
        <w:rPr>
          <w:rFonts w:cs="Arial"/>
          <w:sz w:val="20"/>
          <w:szCs w:val="20"/>
        </w:rPr>
        <w:t xml:space="preserve"> to address the challenges listed above.</w:t>
      </w:r>
    </w:p>
    <w:p w14:paraId="517A40EF" w14:textId="77777777" w:rsidR="00BE188C" w:rsidRPr="008B13D7" w:rsidRDefault="00BE188C" w:rsidP="00BE188C">
      <w:pPr>
        <w:spacing w:after="0" w:line="240" w:lineRule="auto"/>
        <w:rPr>
          <w:rFonts w:cs="Arial"/>
        </w:rPr>
      </w:pPr>
    </w:p>
    <w:p w14:paraId="5A19E03F" w14:textId="77777777" w:rsidR="00BE188C" w:rsidRPr="008B13D7" w:rsidRDefault="00BE188C" w:rsidP="00BE188C">
      <w:pPr>
        <w:pStyle w:val="Heading3"/>
        <w:spacing w:before="0" w:after="0"/>
        <w:rPr>
          <w:rFonts w:cs="Arial"/>
          <w:b/>
          <w:bCs/>
          <w:sz w:val="24"/>
          <w:szCs w:val="24"/>
        </w:rPr>
      </w:pPr>
      <w:r w:rsidRPr="008B13D7">
        <w:rPr>
          <w:rFonts w:cs="Arial"/>
          <w:b/>
          <w:bCs/>
          <w:sz w:val="24"/>
          <w:szCs w:val="24"/>
        </w:rPr>
        <w:t>Teaching (for example, CPD, recruitment and retention)</w:t>
      </w:r>
    </w:p>
    <w:p w14:paraId="2DBCBF68" w14:textId="77777777" w:rsidR="00BE188C" w:rsidRPr="008B13D7" w:rsidRDefault="00BE188C" w:rsidP="00BE188C">
      <w:pPr>
        <w:spacing w:after="0" w:line="240" w:lineRule="auto"/>
        <w:rPr>
          <w:rFonts w:cs="Arial"/>
          <w:sz w:val="20"/>
          <w:szCs w:val="20"/>
        </w:rPr>
      </w:pPr>
      <w:r w:rsidRPr="008B13D7">
        <w:rPr>
          <w:rFonts w:cs="Arial"/>
          <w:sz w:val="20"/>
          <w:szCs w:val="20"/>
        </w:rPr>
        <w:t xml:space="preserve">Budgeted cost: £74,690     </w:t>
      </w:r>
    </w:p>
    <w:tbl>
      <w:tblPr>
        <w:tblW w:w="5000" w:type="pct"/>
        <w:tblCellMar>
          <w:left w:w="10" w:type="dxa"/>
          <w:right w:w="10" w:type="dxa"/>
        </w:tblCellMar>
        <w:tblLook w:val="04A0" w:firstRow="1" w:lastRow="0" w:firstColumn="1" w:lastColumn="0" w:noHBand="0" w:noVBand="1"/>
      </w:tblPr>
      <w:tblGrid>
        <w:gridCol w:w="2962"/>
        <w:gridCol w:w="4689"/>
        <w:gridCol w:w="2805"/>
      </w:tblGrid>
      <w:tr w:rsidR="00BE188C" w:rsidRPr="00BE188C" w14:paraId="29B4B865" w14:textId="77777777" w:rsidTr="00334AA7">
        <w:tc>
          <w:tcPr>
            <w:tcW w:w="268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D07CF8C" w14:textId="77777777" w:rsidR="00BE188C" w:rsidRPr="00BE188C" w:rsidRDefault="00BE188C" w:rsidP="00BE188C">
            <w:pPr>
              <w:pStyle w:val="TableHeader"/>
              <w:spacing w:before="0" w:after="0"/>
              <w:jc w:val="left"/>
              <w:rPr>
                <w:sz w:val="20"/>
                <w:szCs w:val="20"/>
              </w:rPr>
            </w:pPr>
            <w:r w:rsidRPr="00BE188C">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FB214BC" w14:textId="77777777" w:rsidR="00BE188C" w:rsidRPr="00BE188C" w:rsidRDefault="00BE188C" w:rsidP="00BE188C">
            <w:pPr>
              <w:pStyle w:val="TableHeader"/>
              <w:spacing w:before="0" w:after="0"/>
              <w:jc w:val="left"/>
              <w:rPr>
                <w:sz w:val="20"/>
                <w:szCs w:val="20"/>
              </w:rPr>
            </w:pPr>
            <w:r w:rsidRPr="00BE188C">
              <w:rPr>
                <w:sz w:val="20"/>
                <w:szCs w:val="20"/>
              </w:rPr>
              <w:t>Evidence that supports this approach</w:t>
            </w:r>
          </w:p>
        </w:tc>
        <w:tc>
          <w:tcPr>
            <w:tcW w:w="25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DD25933" w14:textId="77777777" w:rsidR="00BE188C" w:rsidRPr="00BE188C" w:rsidRDefault="00BE188C" w:rsidP="00BE188C">
            <w:pPr>
              <w:pStyle w:val="TableHeader"/>
              <w:spacing w:before="0" w:after="0"/>
              <w:jc w:val="left"/>
              <w:rPr>
                <w:sz w:val="20"/>
                <w:szCs w:val="20"/>
              </w:rPr>
            </w:pPr>
            <w:r w:rsidRPr="00BE188C">
              <w:rPr>
                <w:sz w:val="20"/>
                <w:szCs w:val="20"/>
              </w:rPr>
              <w:t>Challenge number(s) addressed</w:t>
            </w:r>
          </w:p>
        </w:tc>
      </w:tr>
      <w:tr w:rsidR="00BE188C" w:rsidRPr="00BE188C" w14:paraId="5436DF63" w14:textId="77777777" w:rsidTr="00334AA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BD61" w14:textId="77777777" w:rsidR="00BE188C" w:rsidRPr="00BE188C" w:rsidRDefault="00BE188C" w:rsidP="00BE188C">
            <w:pPr>
              <w:pStyle w:val="TableRow"/>
              <w:spacing w:before="0" w:after="0"/>
              <w:rPr>
                <w:rFonts w:cs="Arial"/>
                <w:i/>
                <w:iCs/>
                <w:sz w:val="20"/>
                <w:szCs w:val="20"/>
              </w:rPr>
            </w:pPr>
            <w:r w:rsidRPr="00BE188C">
              <w:rPr>
                <w:rFonts w:cs="Arial"/>
                <w:i/>
                <w:iCs/>
                <w:sz w:val="20"/>
                <w:szCs w:val="20"/>
              </w:rPr>
              <w:t xml:space="preserve">Ensure language rich learning environments within the indoor and outdoor learning areas develop children’s language skills within different areas of the EYFS curriculum.  </w:t>
            </w:r>
          </w:p>
          <w:p w14:paraId="0AF7FF0B" w14:textId="77777777" w:rsidR="00BE188C" w:rsidRPr="00BE188C" w:rsidRDefault="00BE188C" w:rsidP="00BE188C">
            <w:pPr>
              <w:pStyle w:val="TableRow"/>
              <w:numPr>
                <w:ilvl w:val="0"/>
                <w:numId w:val="3"/>
              </w:numPr>
              <w:spacing w:before="0" w:after="0"/>
              <w:rPr>
                <w:rFonts w:cs="Arial"/>
                <w:i/>
                <w:iCs/>
                <w:sz w:val="20"/>
                <w:szCs w:val="20"/>
              </w:rPr>
            </w:pPr>
            <w:r w:rsidRPr="00BE188C">
              <w:rPr>
                <w:rFonts w:cs="Arial"/>
                <w:i/>
                <w:iCs/>
                <w:sz w:val="20"/>
                <w:szCs w:val="20"/>
              </w:rPr>
              <w:t>STSA/SLE consultancy fee - £3,000</w:t>
            </w:r>
          </w:p>
          <w:p w14:paraId="67000370" w14:textId="77777777" w:rsidR="00BE188C" w:rsidRPr="00BE188C" w:rsidRDefault="00BE188C" w:rsidP="00BE188C">
            <w:pPr>
              <w:pStyle w:val="TableRow"/>
              <w:numPr>
                <w:ilvl w:val="0"/>
                <w:numId w:val="3"/>
              </w:numPr>
              <w:spacing w:before="0" w:after="0"/>
              <w:rPr>
                <w:rFonts w:cs="Arial"/>
                <w:i/>
                <w:iCs/>
                <w:sz w:val="20"/>
                <w:szCs w:val="20"/>
              </w:rPr>
            </w:pPr>
            <w:r w:rsidRPr="00BE188C">
              <w:rPr>
                <w:rFonts w:cs="Arial"/>
                <w:i/>
                <w:iCs/>
                <w:sz w:val="20"/>
                <w:szCs w:val="20"/>
              </w:rPr>
              <w:t>Resourcing costs to develop environments - £2,000</w:t>
            </w:r>
          </w:p>
          <w:p w14:paraId="0690D39B" w14:textId="77777777" w:rsidR="00BE188C" w:rsidRPr="00BE188C" w:rsidRDefault="00BE188C" w:rsidP="00BE188C">
            <w:pPr>
              <w:pStyle w:val="TableRow"/>
              <w:numPr>
                <w:ilvl w:val="0"/>
                <w:numId w:val="3"/>
              </w:numPr>
              <w:spacing w:before="0" w:after="0"/>
              <w:rPr>
                <w:rFonts w:cs="Arial"/>
                <w:i/>
                <w:iCs/>
                <w:sz w:val="20"/>
                <w:szCs w:val="20"/>
              </w:rPr>
            </w:pPr>
            <w:r w:rsidRPr="00BE188C">
              <w:rPr>
                <w:rFonts w:cs="Arial"/>
                <w:i/>
                <w:iCs/>
                <w:sz w:val="20"/>
                <w:szCs w:val="20"/>
              </w:rPr>
              <w:t>Cost of EYFS TA staff meetings each fortnight: £3,000</w:t>
            </w:r>
          </w:p>
          <w:p w14:paraId="7D1294B5" w14:textId="77777777" w:rsidR="00BE188C" w:rsidRPr="00BE188C" w:rsidRDefault="00BE188C" w:rsidP="00BE188C">
            <w:pPr>
              <w:pStyle w:val="TableRow"/>
              <w:spacing w:before="0" w:after="0"/>
              <w:rPr>
                <w:rFonts w:cs="Arial"/>
                <w:i/>
                <w:iCs/>
                <w:sz w:val="20"/>
                <w:szCs w:val="20"/>
              </w:rPr>
            </w:pPr>
          </w:p>
          <w:p w14:paraId="4CDFD4D2" w14:textId="77777777" w:rsidR="00BE188C" w:rsidRPr="00BE188C" w:rsidRDefault="00BE188C" w:rsidP="00BE188C">
            <w:pPr>
              <w:pStyle w:val="TableRow"/>
              <w:spacing w:before="0" w:after="0"/>
              <w:rPr>
                <w:rFonts w:cs="Arial"/>
                <w:i/>
                <w:iCs/>
                <w:sz w:val="20"/>
                <w:szCs w:val="20"/>
              </w:rPr>
            </w:pPr>
            <w:r w:rsidRPr="00BE188C">
              <w:rPr>
                <w:rFonts w:cs="Arial"/>
                <w:i/>
                <w:iCs/>
                <w:sz w:val="20"/>
                <w:szCs w:val="20"/>
              </w:rPr>
              <w:t xml:space="preserve">Effective use of Speech and Language assessment ensures early identification of need. </w:t>
            </w:r>
          </w:p>
          <w:p w14:paraId="41F459E0" w14:textId="77777777" w:rsidR="00BE188C" w:rsidRPr="00BE188C" w:rsidRDefault="00BE188C" w:rsidP="00BE188C">
            <w:pPr>
              <w:pStyle w:val="TableRow"/>
              <w:numPr>
                <w:ilvl w:val="0"/>
                <w:numId w:val="3"/>
              </w:numPr>
              <w:spacing w:before="0" w:after="0"/>
              <w:rPr>
                <w:rFonts w:cs="Arial"/>
                <w:i/>
                <w:iCs/>
                <w:sz w:val="20"/>
                <w:szCs w:val="20"/>
              </w:rPr>
            </w:pPr>
            <w:r w:rsidRPr="00BE188C">
              <w:rPr>
                <w:rFonts w:cs="Arial"/>
                <w:i/>
                <w:iCs/>
                <w:sz w:val="20"/>
                <w:szCs w:val="20"/>
              </w:rPr>
              <w:t>STSA/SLE consultancy fee – Included in above cost (£3,000)</w:t>
            </w:r>
          </w:p>
          <w:p w14:paraId="5628BB31" w14:textId="77777777" w:rsidR="00BE188C" w:rsidRPr="00BE188C" w:rsidRDefault="00BE188C" w:rsidP="00BE188C">
            <w:pPr>
              <w:pStyle w:val="TableRow"/>
              <w:numPr>
                <w:ilvl w:val="0"/>
                <w:numId w:val="3"/>
              </w:numPr>
              <w:spacing w:before="0" w:after="0"/>
              <w:rPr>
                <w:rFonts w:cs="Arial"/>
                <w:i/>
                <w:iCs/>
                <w:sz w:val="20"/>
                <w:szCs w:val="20"/>
              </w:rPr>
            </w:pPr>
            <w:r w:rsidRPr="00BE188C">
              <w:rPr>
                <w:i/>
                <w:iCs/>
                <w:sz w:val="20"/>
                <w:szCs w:val="20"/>
              </w:rPr>
              <w:t>Stoke Speaks Out – Language assessment Tool</w:t>
            </w:r>
            <w:r w:rsidRPr="00BE188C">
              <w:rPr>
                <w:rFonts w:cs="Arial"/>
                <w:i/>
                <w:iCs/>
                <w:sz w:val="20"/>
                <w:szCs w:val="20"/>
              </w:rPr>
              <w:t xml:space="preserve"> £140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3850" w14:textId="77777777" w:rsidR="00BE188C" w:rsidRPr="00BE188C" w:rsidRDefault="00BE188C" w:rsidP="00BE188C">
            <w:pPr>
              <w:pStyle w:val="TableRowCentered"/>
              <w:spacing w:before="0" w:after="0"/>
              <w:jc w:val="left"/>
              <w:rPr>
                <w:sz w:val="20"/>
              </w:rPr>
            </w:pPr>
            <w:r w:rsidRPr="00BE188C">
              <w:rPr>
                <w:b/>
                <w:bCs/>
                <w:color w:val="002060"/>
                <w:sz w:val="20"/>
              </w:rPr>
              <w:t>Sutton Trust</w:t>
            </w:r>
            <w:r w:rsidRPr="00BE188C">
              <w:rPr>
                <w:color w:val="002060"/>
                <w:sz w:val="20"/>
              </w:rPr>
              <w:t xml:space="preserve"> </w:t>
            </w:r>
            <w:r w:rsidRPr="00BE188C">
              <w:rPr>
                <w:sz w:val="20"/>
              </w:rPr>
              <w:t>– quality first teaching has direct impact on student outcomes.</w:t>
            </w:r>
          </w:p>
          <w:p w14:paraId="31575C62" w14:textId="77777777" w:rsidR="00BE188C" w:rsidRPr="00BE188C" w:rsidRDefault="00BE188C" w:rsidP="00BE188C">
            <w:pPr>
              <w:pStyle w:val="TableRowCentered"/>
              <w:spacing w:before="0" w:after="0"/>
              <w:jc w:val="left"/>
              <w:rPr>
                <w:sz w:val="20"/>
              </w:rPr>
            </w:pPr>
          </w:p>
          <w:p w14:paraId="7F7FF73C" w14:textId="77777777" w:rsidR="00BE188C" w:rsidRPr="00BE188C" w:rsidRDefault="00BE188C" w:rsidP="00BE188C">
            <w:pPr>
              <w:pStyle w:val="TableRowCentered"/>
              <w:spacing w:before="0" w:after="0"/>
              <w:jc w:val="left"/>
              <w:rPr>
                <w:sz w:val="20"/>
              </w:rPr>
            </w:pPr>
            <w:r w:rsidRPr="00BE188C">
              <w:rPr>
                <w:b/>
                <w:bCs/>
                <w:color w:val="002060"/>
                <w:sz w:val="20"/>
              </w:rPr>
              <w:t>EEF Guide to Pupil Premium – tiered approac</w:t>
            </w:r>
            <w:r w:rsidRPr="00BE188C">
              <w:rPr>
                <w:sz w:val="20"/>
              </w:rPr>
              <w:t>h – teaching is the top priority, including CPD.</w:t>
            </w:r>
          </w:p>
          <w:p w14:paraId="6B3CBE9E" w14:textId="77777777" w:rsidR="00BE188C" w:rsidRPr="00BE188C" w:rsidRDefault="00BE188C" w:rsidP="00BE188C">
            <w:pPr>
              <w:pStyle w:val="TableRowCentered"/>
              <w:spacing w:before="0" w:after="0"/>
              <w:jc w:val="left"/>
              <w:rPr>
                <w:sz w:val="20"/>
              </w:rPr>
            </w:pPr>
          </w:p>
          <w:p w14:paraId="14699D20" w14:textId="77777777" w:rsidR="00BE188C" w:rsidRPr="00BE188C" w:rsidRDefault="00BE188C" w:rsidP="00BE188C">
            <w:pPr>
              <w:pStyle w:val="Default"/>
              <w:rPr>
                <w:sz w:val="20"/>
                <w:szCs w:val="20"/>
              </w:rPr>
            </w:pPr>
            <w:r w:rsidRPr="00BE188C">
              <w:rPr>
                <w:b/>
                <w:bCs/>
                <w:color w:val="002060"/>
                <w:sz w:val="20"/>
                <w:szCs w:val="20"/>
              </w:rPr>
              <w:t>EEF Making Best Use of Teaching    Assistants</w:t>
            </w:r>
            <w:r w:rsidRPr="00BE188C">
              <w:rPr>
                <w:sz w:val="20"/>
                <w:szCs w:val="20"/>
              </w:rPr>
              <w:t xml:space="preserve"> –Use TAs to add value to what teachers do, ensure TAs are fully prepared to fulfil their classroom role. </w:t>
            </w:r>
          </w:p>
          <w:p w14:paraId="32BD937E" w14:textId="77777777" w:rsidR="00BE188C" w:rsidRPr="00BE188C" w:rsidRDefault="00BE188C" w:rsidP="00BE188C">
            <w:pPr>
              <w:pStyle w:val="Default"/>
              <w:rPr>
                <w:sz w:val="20"/>
                <w:szCs w:val="20"/>
              </w:rPr>
            </w:pPr>
          </w:p>
          <w:p w14:paraId="2DD00B76" w14:textId="77777777" w:rsidR="00BE188C" w:rsidRPr="00BE188C" w:rsidRDefault="00BE188C" w:rsidP="00BE188C">
            <w:pPr>
              <w:pStyle w:val="TableRowCentered"/>
              <w:spacing w:before="0" w:after="0"/>
              <w:jc w:val="left"/>
              <w:rPr>
                <w:sz w:val="20"/>
              </w:rPr>
            </w:pPr>
          </w:p>
          <w:p w14:paraId="21547AAC" w14:textId="77777777" w:rsidR="00BE188C" w:rsidRPr="00BE188C" w:rsidRDefault="00BE188C" w:rsidP="00BE188C">
            <w:pPr>
              <w:pStyle w:val="TableRowCentered"/>
              <w:spacing w:before="0" w:after="0"/>
              <w:jc w:val="left"/>
              <w:rPr>
                <w:sz w:val="20"/>
              </w:rPr>
            </w:pPr>
          </w:p>
          <w:p w14:paraId="40F2D2EE" w14:textId="77777777" w:rsidR="00BE188C" w:rsidRPr="00BE188C" w:rsidRDefault="00BE188C" w:rsidP="00BE188C">
            <w:pPr>
              <w:pStyle w:val="TableRowCentered"/>
              <w:spacing w:before="0" w:after="0"/>
              <w:jc w:val="left"/>
              <w:rPr>
                <w:sz w:val="20"/>
              </w:rPr>
            </w:pPr>
          </w:p>
          <w:p w14:paraId="3E92C203" w14:textId="77777777" w:rsidR="00BE188C" w:rsidRPr="00BE188C" w:rsidRDefault="00BE188C" w:rsidP="00BE188C">
            <w:pPr>
              <w:pStyle w:val="TableRowCentered"/>
              <w:spacing w:before="0" w:after="0"/>
              <w:jc w:val="left"/>
              <w:rPr>
                <w:sz w:val="20"/>
              </w:rPr>
            </w:pPr>
          </w:p>
          <w:p w14:paraId="1F29C6DB" w14:textId="77777777" w:rsidR="00BE188C" w:rsidRPr="00BE188C" w:rsidRDefault="00BE188C" w:rsidP="00BE188C">
            <w:pPr>
              <w:pStyle w:val="TableRowCentered"/>
              <w:spacing w:before="0" w:after="0"/>
              <w:jc w:val="left"/>
              <w:rPr>
                <w:sz w:val="20"/>
              </w:rPr>
            </w:pPr>
          </w:p>
          <w:p w14:paraId="20BE8A44" w14:textId="77777777" w:rsidR="00BE188C" w:rsidRPr="00BE188C" w:rsidRDefault="00BE188C" w:rsidP="00BE188C">
            <w:pPr>
              <w:pStyle w:val="TableRowCentered"/>
              <w:spacing w:before="0" w:after="0"/>
              <w:jc w:val="left"/>
              <w:rPr>
                <w:sz w:val="20"/>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09DA" w14:textId="3AD5DA3A" w:rsidR="00BE188C" w:rsidRPr="00BE188C" w:rsidRDefault="00BE188C" w:rsidP="00BE188C">
            <w:pPr>
              <w:pStyle w:val="TableRowCentered"/>
              <w:spacing w:before="0" w:after="0"/>
              <w:ind w:left="0"/>
              <w:jc w:val="left"/>
              <w:rPr>
                <w:b/>
                <w:bCs/>
                <w:sz w:val="20"/>
              </w:rPr>
            </w:pPr>
            <w:r w:rsidRPr="00BE188C">
              <w:rPr>
                <w:b/>
                <w:bCs/>
                <w:sz w:val="20"/>
              </w:rPr>
              <w:t>1</w:t>
            </w:r>
            <w:r w:rsidR="008B13D7">
              <w:rPr>
                <w:b/>
                <w:bCs/>
                <w:sz w:val="20"/>
              </w:rPr>
              <w:t>, 3, 4 and 5</w:t>
            </w:r>
            <w:r w:rsidRPr="00BE188C">
              <w:rPr>
                <w:b/>
                <w:bCs/>
                <w:sz w:val="20"/>
              </w:rPr>
              <w:t xml:space="preserve"> </w:t>
            </w:r>
          </w:p>
          <w:p w14:paraId="4FCC4A9D" w14:textId="77777777" w:rsidR="00BE188C" w:rsidRPr="00BE188C" w:rsidRDefault="00BE188C" w:rsidP="00BE188C">
            <w:pPr>
              <w:pStyle w:val="TableRowCentered"/>
              <w:spacing w:before="0" w:after="0"/>
              <w:ind w:left="0"/>
              <w:jc w:val="left"/>
              <w:rPr>
                <w:b/>
                <w:bCs/>
                <w:sz w:val="20"/>
              </w:rPr>
            </w:pPr>
          </w:p>
          <w:p w14:paraId="691334D6" w14:textId="77777777" w:rsidR="00BE188C" w:rsidRPr="00BE188C" w:rsidRDefault="00BE188C" w:rsidP="00BE188C">
            <w:pPr>
              <w:pStyle w:val="TableRowCentered"/>
              <w:spacing w:before="0" w:after="0"/>
              <w:ind w:left="0"/>
              <w:jc w:val="left"/>
              <w:rPr>
                <w:color w:val="0070C0"/>
                <w:sz w:val="20"/>
              </w:rPr>
            </w:pPr>
          </w:p>
          <w:p w14:paraId="20DED235" w14:textId="77777777" w:rsidR="00BE188C" w:rsidRPr="00BE188C" w:rsidRDefault="00BE188C" w:rsidP="00BE188C">
            <w:pPr>
              <w:pStyle w:val="TableRowCentered"/>
              <w:spacing w:before="0" w:after="0"/>
              <w:ind w:left="0"/>
              <w:jc w:val="left"/>
              <w:rPr>
                <w:color w:val="0070C0"/>
                <w:sz w:val="20"/>
              </w:rPr>
            </w:pPr>
          </w:p>
          <w:p w14:paraId="1F32F447" w14:textId="77777777" w:rsidR="00BE188C" w:rsidRPr="00BE188C" w:rsidRDefault="00BE188C" w:rsidP="00BE188C">
            <w:pPr>
              <w:pStyle w:val="TableRowCentered"/>
              <w:spacing w:before="0" w:after="0"/>
              <w:jc w:val="left"/>
              <w:rPr>
                <w:b/>
                <w:bCs/>
                <w:sz w:val="20"/>
              </w:rPr>
            </w:pPr>
          </w:p>
          <w:p w14:paraId="00D2040A" w14:textId="77777777" w:rsidR="00BE188C" w:rsidRPr="00BE188C" w:rsidRDefault="00BE188C" w:rsidP="00BE188C">
            <w:pPr>
              <w:pStyle w:val="TableRowCentered"/>
              <w:spacing w:before="0" w:after="0"/>
              <w:jc w:val="left"/>
              <w:rPr>
                <w:b/>
                <w:bCs/>
                <w:sz w:val="20"/>
              </w:rPr>
            </w:pPr>
          </w:p>
          <w:p w14:paraId="13F1A89C" w14:textId="77777777" w:rsidR="00BE188C" w:rsidRPr="00BE188C" w:rsidRDefault="00BE188C" w:rsidP="00BE188C">
            <w:pPr>
              <w:pStyle w:val="TableRowCentered"/>
              <w:spacing w:before="0" w:after="0"/>
              <w:jc w:val="left"/>
              <w:rPr>
                <w:b/>
                <w:bCs/>
                <w:sz w:val="20"/>
              </w:rPr>
            </w:pPr>
          </w:p>
          <w:p w14:paraId="38DE2C42" w14:textId="77777777" w:rsidR="00BE188C" w:rsidRPr="00BE188C" w:rsidRDefault="00BE188C" w:rsidP="00BE188C">
            <w:pPr>
              <w:pStyle w:val="TableRowCentered"/>
              <w:spacing w:before="0" w:after="0"/>
              <w:jc w:val="left"/>
              <w:rPr>
                <w:b/>
                <w:bCs/>
                <w:sz w:val="20"/>
              </w:rPr>
            </w:pPr>
          </w:p>
          <w:p w14:paraId="3E54BF2C" w14:textId="77777777" w:rsidR="00BE188C" w:rsidRPr="00BE188C" w:rsidRDefault="00BE188C" w:rsidP="00BE188C">
            <w:pPr>
              <w:pStyle w:val="TableRowCentered"/>
              <w:spacing w:before="0" w:after="0"/>
              <w:jc w:val="left"/>
              <w:rPr>
                <w:b/>
                <w:bCs/>
                <w:sz w:val="20"/>
              </w:rPr>
            </w:pPr>
          </w:p>
        </w:tc>
      </w:tr>
      <w:tr w:rsidR="00BE188C" w:rsidRPr="00BE188C" w14:paraId="15D052C8" w14:textId="77777777" w:rsidTr="00334AA7">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C217" w14:textId="77777777" w:rsidR="00BE188C" w:rsidRPr="00BE188C" w:rsidRDefault="00BE188C" w:rsidP="00BE188C">
            <w:pPr>
              <w:pStyle w:val="Default"/>
              <w:rPr>
                <w:i/>
                <w:iCs/>
                <w:color w:val="0D0D0D"/>
                <w:sz w:val="20"/>
                <w:szCs w:val="20"/>
              </w:rPr>
            </w:pPr>
            <w:r w:rsidRPr="00BE188C">
              <w:rPr>
                <w:i/>
                <w:iCs/>
                <w:color w:val="0D0D0D"/>
                <w:sz w:val="20"/>
                <w:szCs w:val="20"/>
              </w:rPr>
              <w:t xml:space="preserve">Ensure all lessons meet the needs of all students and engage target groups; raise expectations of staff and all </w:t>
            </w:r>
            <w:r w:rsidRPr="00BE188C">
              <w:rPr>
                <w:i/>
                <w:iCs/>
                <w:color w:val="0D0D0D"/>
                <w:sz w:val="20"/>
                <w:szCs w:val="20"/>
              </w:rPr>
              <w:lastRenderedPageBreak/>
              <w:t xml:space="preserve">pupils; TAs and other additional adults are used effectively to secure high rates of progress for all pupils. </w:t>
            </w:r>
          </w:p>
          <w:p w14:paraId="1536C021" w14:textId="77777777" w:rsidR="00BE188C" w:rsidRPr="00BE188C" w:rsidRDefault="00BE188C" w:rsidP="00BE188C">
            <w:pPr>
              <w:pStyle w:val="Default"/>
              <w:rPr>
                <w:i/>
                <w:iCs/>
                <w:color w:val="0D0D0D"/>
                <w:sz w:val="20"/>
                <w:szCs w:val="20"/>
              </w:rPr>
            </w:pPr>
          </w:p>
          <w:p w14:paraId="7075684F" w14:textId="77777777" w:rsidR="00BE188C" w:rsidRPr="00BE188C" w:rsidRDefault="00BE188C" w:rsidP="00BE188C">
            <w:pPr>
              <w:pStyle w:val="Default"/>
              <w:rPr>
                <w:i/>
                <w:iCs/>
                <w:color w:val="0D0D0D"/>
                <w:sz w:val="20"/>
                <w:szCs w:val="20"/>
              </w:rPr>
            </w:pPr>
            <w:r w:rsidRPr="00BE188C">
              <w:rPr>
                <w:i/>
                <w:iCs/>
                <w:color w:val="0D0D0D"/>
                <w:sz w:val="20"/>
                <w:szCs w:val="20"/>
              </w:rPr>
              <w:t>TA support for targeted support in English and Maths = 3 classes with 2 TA’s= £22,000</w:t>
            </w:r>
          </w:p>
          <w:p w14:paraId="632F92FC" w14:textId="77777777" w:rsidR="00BE188C" w:rsidRPr="00BE188C" w:rsidRDefault="00BE188C" w:rsidP="00BE188C">
            <w:pPr>
              <w:pStyle w:val="TableRow"/>
              <w:spacing w:before="0" w:after="0"/>
              <w:ind w:left="0"/>
              <w:rPr>
                <w:rFonts w:cs="Arial"/>
                <w:b/>
                <w:bCs/>
                <w:i/>
                <w:sz w:val="20"/>
                <w:szCs w:val="20"/>
              </w:rPr>
            </w:pPr>
          </w:p>
          <w:p w14:paraId="3326CA27" w14:textId="77777777" w:rsidR="00BE188C" w:rsidRPr="00BE188C" w:rsidRDefault="00BE188C" w:rsidP="00BE188C">
            <w:pPr>
              <w:pStyle w:val="Default"/>
              <w:rPr>
                <w:i/>
                <w:sz w:val="20"/>
                <w:szCs w:val="20"/>
              </w:rPr>
            </w:pPr>
            <w:r w:rsidRPr="00BE188C">
              <w:rPr>
                <w:i/>
                <w:sz w:val="20"/>
                <w:szCs w:val="20"/>
              </w:rPr>
              <w:t>Costs of external CPD and whole school training – Part of PINS approach and CPD held in school.</w:t>
            </w:r>
          </w:p>
          <w:p w14:paraId="722616A0" w14:textId="77777777" w:rsidR="00BE188C" w:rsidRPr="00BE188C" w:rsidRDefault="00BE188C" w:rsidP="00BE188C">
            <w:pPr>
              <w:pStyle w:val="Default"/>
              <w:rPr>
                <w:i/>
                <w:iCs/>
                <w:sz w:val="20"/>
                <w:szCs w:val="20"/>
              </w:rPr>
            </w:pPr>
            <w:r w:rsidRPr="00BE188C">
              <w:rPr>
                <w:i/>
                <w:iCs/>
                <w:sz w:val="20"/>
                <w:szCs w:val="20"/>
              </w:rPr>
              <w:t>LSAT team to deliver sessions on Quality First Teaching for all staff:</w:t>
            </w:r>
          </w:p>
          <w:p w14:paraId="3A3EFDDF" w14:textId="77777777" w:rsidR="00BE188C" w:rsidRPr="00BE188C" w:rsidRDefault="00BE188C" w:rsidP="00BE188C">
            <w:pPr>
              <w:pStyle w:val="Default"/>
              <w:rPr>
                <w:i/>
                <w:iCs/>
                <w:sz w:val="20"/>
                <w:szCs w:val="20"/>
              </w:rPr>
            </w:pPr>
            <w:r w:rsidRPr="00BE188C">
              <w:rPr>
                <w:i/>
                <w:iCs/>
                <w:sz w:val="20"/>
                <w:szCs w:val="20"/>
              </w:rPr>
              <w:t>£600 for session and participation of all staff</w:t>
            </w:r>
          </w:p>
          <w:p w14:paraId="1D9E36B2" w14:textId="77777777" w:rsidR="00BE188C" w:rsidRPr="00BE188C" w:rsidRDefault="00BE188C" w:rsidP="00BE188C">
            <w:pPr>
              <w:pStyle w:val="Default"/>
              <w:rPr>
                <w:i/>
                <w:iCs/>
                <w:sz w:val="20"/>
                <w:szCs w:val="20"/>
              </w:rPr>
            </w:pPr>
            <w:r w:rsidRPr="00BE188C">
              <w:rPr>
                <w:i/>
                <w:iCs/>
                <w:sz w:val="20"/>
                <w:szCs w:val="20"/>
              </w:rPr>
              <w:t>£400</w:t>
            </w:r>
          </w:p>
          <w:p w14:paraId="59A5069B" w14:textId="77777777" w:rsidR="00BE188C" w:rsidRPr="00BE188C" w:rsidRDefault="00BE188C" w:rsidP="00BE188C">
            <w:pPr>
              <w:pStyle w:val="Default"/>
              <w:rPr>
                <w:i/>
                <w:iCs/>
                <w:sz w:val="20"/>
                <w:szCs w:val="20"/>
              </w:rPr>
            </w:pPr>
          </w:p>
          <w:p w14:paraId="2AFB4E23" w14:textId="77777777" w:rsidR="00BE188C" w:rsidRPr="00BE188C" w:rsidRDefault="00BE188C" w:rsidP="00BE188C">
            <w:pPr>
              <w:pStyle w:val="Default"/>
              <w:rPr>
                <w:i/>
                <w:iCs/>
                <w:sz w:val="20"/>
                <w:szCs w:val="20"/>
              </w:rPr>
            </w:pPr>
            <w:r w:rsidRPr="00BE188C">
              <w:rPr>
                <w:i/>
                <w:iCs/>
                <w:sz w:val="20"/>
                <w:szCs w:val="20"/>
              </w:rPr>
              <w:t>PINS project: To lead staff on sensory training and adaptive teaching:</w:t>
            </w:r>
          </w:p>
          <w:p w14:paraId="05F168CA" w14:textId="77777777" w:rsidR="00BE188C" w:rsidRPr="00BE188C" w:rsidRDefault="00BE188C" w:rsidP="00BE188C">
            <w:pPr>
              <w:pStyle w:val="Default"/>
              <w:rPr>
                <w:i/>
                <w:iCs/>
                <w:sz w:val="20"/>
                <w:szCs w:val="20"/>
              </w:rPr>
            </w:pPr>
            <w:r w:rsidRPr="00BE188C">
              <w:rPr>
                <w:i/>
                <w:iCs/>
                <w:sz w:val="20"/>
                <w:szCs w:val="20"/>
              </w:rPr>
              <w:t>8 members of staff: £1000</w:t>
            </w:r>
          </w:p>
          <w:p w14:paraId="194DB938" w14:textId="77777777" w:rsidR="00BE188C" w:rsidRPr="00BE188C" w:rsidRDefault="00BE188C" w:rsidP="00BE188C">
            <w:pPr>
              <w:pStyle w:val="Default"/>
              <w:rPr>
                <w:i/>
                <w:iCs/>
                <w:sz w:val="20"/>
                <w:szCs w:val="20"/>
              </w:rPr>
            </w:pPr>
          </w:p>
          <w:p w14:paraId="55C756C9" w14:textId="77777777" w:rsidR="00BE188C" w:rsidRPr="00BE188C" w:rsidRDefault="00BE188C" w:rsidP="00BE188C">
            <w:pPr>
              <w:pStyle w:val="Default"/>
              <w:rPr>
                <w:i/>
                <w:sz w:val="20"/>
                <w:szCs w:val="20"/>
              </w:rPr>
            </w:pPr>
            <w:r w:rsidRPr="00BE188C">
              <w:rPr>
                <w:i/>
                <w:sz w:val="20"/>
                <w:szCs w:val="20"/>
              </w:rPr>
              <w:t xml:space="preserve">Maths </w:t>
            </w:r>
            <w:proofErr w:type="gramStart"/>
            <w:r w:rsidRPr="00BE188C">
              <w:rPr>
                <w:i/>
                <w:sz w:val="20"/>
                <w:szCs w:val="20"/>
              </w:rPr>
              <w:t>Lead</w:t>
            </w:r>
            <w:proofErr w:type="gramEnd"/>
            <w:r w:rsidRPr="00BE188C">
              <w:rPr>
                <w:i/>
                <w:sz w:val="20"/>
                <w:szCs w:val="20"/>
              </w:rPr>
              <w:t xml:space="preserve"> to deliver high-quality CPD and monitor provision and analyse data outcomes in Maths.</w:t>
            </w:r>
          </w:p>
          <w:p w14:paraId="5B5934C2" w14:textId="77777777" w:rsidR="00BE188C" w:rsidRPr="00BE188C" w:rsidRDefault="00BE188C" w:rsidP="00BE188C">
            <w:pPr>
              <w:pStyle w:val="Default"/>
              <w:rPr>
                <w:i/>
                <w:iCs/>
                <w:sz w:val="20"/>
                <w:szCs w:val="20"/>
              </w:rPr>
            </w:pPr>
            <w:r w:rsidRPr="00BE188C">
              <w:rPr>
                <w:i/>
                <w:iCs/>
                <w:sz w:val="20"/>
                <w:szCs w:val="20"/>
              </w:rPr>
              <w:t xml:space="preserve">CPD for teachers and </w:t>
            </w:r>
            <w:proofErr w:type="gramStart"/>
            <w:r w:rsidRPr="00BE188C">
              <w:rPr>
                <w:i/>
                <w:iCs/>
                <w:sz w:val="20"/>
                <w:szCs w:val="20"/>
              </w:rPr>
              <w:t>TA’s</w:t>
            </w:r>
            <w:proofErr w:type="gramEnd"/>
            <w:r w:rsidRPr="00BE188C">
              <w:rPr>
                <w:i/>
                <w:iCs/>
                <w:sz w:val="20"/>
                <w:szCs w:val="20"/>
              </w:rPr>
              <w:t>:</w:t>
            </w:r>
          </w:p>
          <w:p w14:paraId="0849EB38" w14:textId="77777777" w:rsidR="00BE188C" w:rsidRPr="00BE188C" w:rsidRDefault="00BE188C" w:rsidP="00BE188C">
            <w:pPr>
              <w:pStyle w:val="Default"/>
              <w:rPr>
                <w:i/>
                <w:iCs/>
                <w:sz w:val="20"/>
                <w:szCs w:val="20"/>
              </w:rPr>
            </w:pPr>
            <w:r w:rsidRPr="00BE188C">
              <w:rPr>
                <w:i/>
                <w:iCs/>
                <w:sz w:val="20"/>
                <w:szCs w:val="20"/>
              </w:rPr>
              <w:t>Lead: £5,000</w:t>
            </w:r>
          </w:p>
          <w:p w14:paraId="16D176AC" w14:textId="77777777" w:rsidR="00BE188C" w:rsidRPr="00BE188C" w:rsidRDefault="00BE188C" w:rsidP="00BE188C">
            <w:pPr>
              <w:pStyle w:val="Default"/>
              <w:rPr>
                <w:i/>
                <w:iCs/>
                <w:sz w:val="20"/>
                <w:szCs w:val="20"/>
              </w:rPr>
            </w:pPr>
            <w:r w:rsidRPr="00BE188C">
              <w:rPr>
                <w:i/>
                <w:iCs/>
                <w:sz w:val="20"/>
                <w:szCs w:val="20"/>
              </w:rPr>
              <w:t xml:space="preserve">(Staff meeting each half-term and further CPD for </w:t>
            </w:r>
            <w:proofErr w:type="gramStart"/>
            <w:r w:rsidRPr="00BE188C">
              <w:rPr>
                <w:i/>
                <w:iCs/>
                <w:sz w:val="20"/>
                <w:szCs w:val="20"/>
              </w:rPr>
              <w:t>TA’s</w:t>
            </w:r>
            <w:proofErr w:type="gramEnd"/>
            <w:r w:rsidRPr="00BE188C">
              <w:rPr>
                <w:i/>
                <w:iCs/>
                <w:sz w:val="20"/>
                <w:szCs w:val="20"/>
              </w:rPr>
              <w:t>)</w:t>
            </w:r>
          </w:p>
          <w:p w14:paraId="7CC26837" w14:textId="77777777" w:rsidR="00BE188C" w:rsidRPr="00BE188C" w:rsidRDefault="00BE188C" w:rsidP="00BE188C">
            <w:pPr>
              <w:pStyle w:val="Default"/>
              <w:rPr>
                <w:i/>
                <w:sz w:val="20"/>
                <w:szCs w:val="20"/>
              </w:rPr>
            </w:pPr>
            <w:r w:rsidRPr="00BE188C">
              <w:rPr>
                <w:i/>
                <w:sz w:val="20"/>
                <w:szCs w:val="20"/>
              </w:rPr>
              <w:t>(CPD to be led by Maths consultant.  £600 per whole day session. £250 for staff meeting.)</w:t>
            </w:r>
          </w:p>
          <w:p w14:paraId="49250DFA" w14:textId="77777777" w:rsidR="00BE188C" w:rsidRPr="00BE188C" w:rsidRDefault="00BE188C" w:rsidP="00BE188C">
            <w:pPr>
              <w:pStyle w:val="Default"/>
              <w:rPr>
                <w:i/>
                <w:sz w:val="20"/>
                <w:szCs w:val="20"/>
              </w:rPr>
            </w:pPr>
            <w:r w:rsidRPr="00BE188C">
              <w:rPr>
                <w:i/>
                <w:sz w:val="20"/>
                <w:szCs w:val="20"/>
              </w:rPr>
              <w:t xml:space="preserve">Monitoring of provision and teaching.  </w:t>
            </w:r>
          </w:p>
          <w:p w14:paraId="2D95FD5F" w14:textId="77777777" w:rsidR="00BE188C" w:rsidRPr="00BE188C" w:rsidRDefault="00BE188C" w:rsidP="00BE188C">
            <w:pPr>
              <w:pStyle w:val="Default"/>
              <w:rPr>
                <w:i/>
                <w:sz w:val="20"/>
                <w:szCs w:val="20"/>
              </w:rPr>
            </w:pPr>
            <w:proofErr w:type="gramStart"/>
            <w:r w:rsidRPr="00BE188C">
              <w:rPr>
                <w:i/>
                <w:sz w:val="20"/>
                <w:szCs w:val="20"/>
              </w:rPr>
              <w:t>9 day</w:t>
            </w:r>
            <w:proofErr w:type="gramEnd"/>
            <w:r w:rsidRPr="00BE188C">
              <w:rPr>
                <w:i/>
                <w:sz w:val="20"/>
                <w:szCs w:val="20"/>
              </w:rPr>
              <w:t xml:space="preserve"> sessions over the school year.  3 staff meetings)</w:t>
            </w:r>
          </w:p>
          <w:p w14:paraId="6E25FF46" w14:textId="77777777" w:rsidR="00BE188C" w:rsidRPr="00BE188C" w:rsidRDefault="00BE188C" w:rsidP="00BE188C">
            <w:pPr>
              <w:pStyle w:val="Default"/>
              <w:rPr>
                <w:i/>
                <w:sz w:val="20"/>
                <w:szCs w:val="20"/>
              </w:rPr>
            </w:pPr>
            <w:r w:rsidRPr="00BE188C">
              <w:rPr>
                <w:i/>
                <w:sz w:val="20"/>
                <w:szCs w:val="20"/>
              </w:rPr>
              <w:t>£6150</w:t>
            </w:r>
          </w:p>
          <w:p w14:paraId="42BF117F" w14:textId="77777777" w:rsidR="00BE188C" w:rsidRPr="00BE188C" w:rsidRDefault="00BE188C" w:rsidP="00BE188C">
            <w:pPr>
              <w:pStyle w:val="Default"/>
              <w:rPr>
                <w:i/>
                <w:iCs/>
                <w:sz w:val="20"/>
                <w:szCs w:val="20"/>
              </w:rPr>
            </w:pPr>
          </w:p>
          <w:p w14:paraId="370F12B9" w14:textId="77777777" w:rsidR="00BE188C" w:rsidRPr="00BE188C" w:rsidRDefault="00BE188C" w:rsidP="00BE188C">
            <w:pPr>
              <w:pStyle w:val="Default"/>
              <w:rPr>
                <w:i/>
                <w:sz w:val="20"/>
                <w:szCs w:val="20"/>
              </w:rPr>
            </w:pPr>
            <w:r w:rsidRPr="00BE188C">
              <w:rPr>
                <w:i/>
                <w:sz w:val="20"/>
                <w:szCs w:val="20"/>
              </w:rPr>
              <w:t>English Lead to deliver high-quality CPD and monitor provision and analyse data outcomes in Reading and Writing.</w:t>
            </w:r>
          </w:p>
          <w:p w14:paraId="584E1806" w14:textId="77777777" w:rsidR="00BE188C" w:rsidRPr="00BE188C" w:rsidRDefault="00BE188C" w:rsidP="00BE188C">
            <w:pPr>
              <w:pStyle w:val="Default"/>
              <w:rPr>
                <w:i/>
                <w:iCs/>
                <w:sz w:val="20"/>
                <w:szCs w:val="20"/>
              </w:rPr>
            </w:pPr>
            <w:r w:rsidRPr="00BE188C">
              <w:rPr>
                <w:i/>
                <w:iCs/>
                <w:sz w:val="20"/>
                <w:szCs w:val="20"/>
              </w:rPr>
              <w:t>Lead: £5,000</w:t>
            </w:r>
          </w:p>
          <w:p w14:paraId="46FC8FB2" w14:textId="77777777" w:rsidR="00BE188C" w:rsidRPr="00BE188C" w:rsidRDefault="00BE188C" w:rsidP="00BE188C">
            <w:pPr>
              <w:pStyle w:val="Default"/>
              <w:rPr>
                <w:i/>
                <w:iCs/>
                <w:sz w:val="20"/>
                <w:szCs w:val="20"/>
              </w:rPr>
            </w:pPr>
            <w:r w:rsidRPr="00BE188C">
              <w:rPr>
                <w:i/>
                <w:iCs/>
                <w:sz w:val="20"/>
                <w:szCs w:val="20"/>
              </w:rPr>
              <w:t xml:space="preserve">(Staff meeting each half-term and further CPD for </w:t>
            </w:r>
            <w:proofErr w:type="gramStart"/>
            <w:r w:rsidRPr="00BE188C">
              <w:rPr>
                <w:i/>
                <w:iCs/>
                <w:sz w:val="20"/>
                <w:szCs w:val="20"/>
              </w:rPr>
              <w:t>TA’s</w:t>
            </w:r>
            <w:proofErr w:type="gramEnd"/>
            <w:r w:rsidRPr="00BE188C">
              <w:rPr>
                <w:i/>
                <w:iCs/>
                <w:sz w:val="20"/>
                <w:szCs w:val="20"/>
              </w:rPr>
              <w:t>)</w:t>
            </w:r>
          </w:p>
          <w:p w14:paraId="6221809F" w14:textId="77777777" w:rsidR="00BE188C" w:rsidRPr="00BE188C" w:rsidRDefault="00BE188C" w:rsidP="00BE188C">
            <w:pPr>
              <w:pStyle w:val="Default"/>
              <w:rPr>
                <w:i/>
                <w:sz w:val="20"/>
                <w:szCs w:val="20"/>
              </w:rPr>
            </w:pPr>
            <w:r w:rsidRPr="00BE188C">
              <w:rPr>
                <w:i/>
                <w:sz w:val="20"/>
                <w:szCs w:val="20"/>
              </w:rPr>
              <w:t>(CPD to be led by English consultant.  £600 per whole day session. £250 for staff meeting.</w:t>
            </w:r>
          </w:p>
          <w:p w14:paraId="3A502F40" w14:textId="77777777" w:rsidR="00BE188C" w:rsidRPr="00BE188C" w:rsidRDefault="00BE188C" w:rsidP="00BE188C">
            <w:pPr>
              <w:pStyle w:val="Default"/>
              <w:rPr>
                <w:i/>
                <w:sz w:val="20"/>
                <w:szCs w:val="20"/>
              </w:rPr>
            </w:pPr>
            <w:r w:rsidRPr="00BE188C">
              <w:rPr>
                <w:i/>
                <w:sz w:val="20"/>
                <w:szCs w:val="20"/>
              </w:rPr>
              <w:t xml:space="preserve">Monitoring of provision and teaching.  </w:t>
            </w:r>
          </w:p>
          <w:p w14:paraId="31317BC6" w14:textId="77777777" w:rsidR="00BE188C" w:rsidRPr="00BE188C" w:rsidRDefault="00BE188C" w:rsidP="00BE188C">
            <w:pPr>
              <w:pStyle w:val="Default"/>
              <w:rPr>
                <w:i/>
                <w:sz w:val="20"/>
                <w:szCs w:val="20"/>
              </w:rPr>
            </w:pPr>
            <w:proofErr w:type="gramStart"/>
            <w:r w:rsidRPr="00BE188C">
              <w:rPr>
                <w:i/>
                <w:sz w:val="20"/>
                <w:szCs w:val="20"/>
              </w:rPr>
              <w:t>9 day</w:t>
            </w:r>
            <w:proofErr w:type="gramEnd"/>
            <w:r w:rsidRPr="00BE188C">
              <w:rPr>
                <w:i/>
                <w:sz w:val="20"/>
                <w:szCs w:val="20"/>
              </w:rPr>
              <w:t xml:space="preserve"> sessions over the school year.  3 staff meetings)</w:t>
            </w:r>
          </w:p>
          <w:p w14:paraId="52662662" w14:textId="77777777" w:rsidR="00BE188C" w:rsidRPr="00BE188C" w:rsidRDefault="00BE188C" w:rsidP="00BE188C">
            <w:pPr>
              <w:pStyle w:val="Default"/>
              <w:rPr>
                <w:i/>
                <w:sz w:val="20"/>
                <w:szCs w:val="20"/>
              </w:rPr>
            </w:pPr>
            <w:r w:rsidRPr="00BE188C">
              <w:rPr>
                <w:i/>
                <w:sz w:val="20"/>
                <w:szCs w:val="20"/>
              </w:rPr>
              <w:t>£6150</w:t>
            </w:r>
          </w:p>
          <w:p w14:paraId="33DB5412" w14:textId="77777777" w:rsidR="00BE188C" w:rsidRPr="00BE188C" w:rsidRDefault="00BE188C" w:rsidP="00BE188C">
            <w:pPr>
              <w:pStyle w:val="Default"/>
              <w:rPr>
                <w:i/>
                <w:sz w:val="20"/>
                <w:szCs w:val="20"/>
              </w:rPr>
            </w:pPr>
          </w:p>
          <w:p w14:paraId="0035018C" w14:textId="77777777" w:rsidR="00BE188C" w:rsidRPr="00BE188C" w:rsidRDefault="00BE188C" w:rsidP="00BE188C">
            <w:pPr>
              <w:pStyle w:val="Default"/>
              <w:rPr>
                <w:i/>
                <w:sz w:val="20"/>
                <w:szCs w:val="20"/>
              </w:rPr>
            </w:pPr>
            <w:r w:rsidRPr="00BE188C">
              <w:rPr>
                <w:i/>
                <w:sz w:val="20"/>
                <w:szCs w:val="20"/>
              </w:rPr>
              <w:t xml:space="preserve">Teachers to develop the curriculum to ensure it is </w:t>
            </w:r>
            <w:proofErr w:type="gramStart"/>
            <w:r w:rsidRPr="00BE188C">
              <w:rPr>
                <w:i/>
                <w:sz w:val="20"/>
                <w:szCs w:val="20"/>
              </w:rPr>
              <w:t>progressive</w:t>
            </w:r>
            <w:proofErr w:type="gramEnd"/>
            <w:r w:rsidRPr="00BE188C">
              <w:rPr>
                <w:i/>
                <w:sz w:val="20"/>
                <w:szCs w:val="20"/>
              </w:rPr>
              <w:t xml:space="preserve"> and children build on prior knowledge.  </w:t>
            </w:r>
            <w:r w:rsidRPr="00BE188C">
              <w:rPr>
                <w:i/>
                <w:sz w:val="20"/>
                <w:szCs w:val="20"/>
              </w:rPr>
              <w:lastRenderedPageBreak/>
              <w:t xml:space="preserve">Vocabulary to be developed is outlined.  Monitoring of the subject to ensure there are high expectations and adaptions made for learners.  </w:t>
            </w:r>
          </w:p>
          <w:p w14:paraId="0C890485" w14:textId="77777777" w:rsidR="00BE188C" w:rsidRPr="00BE188C" w:rsidRDefault="00BE188C" w:rsidP="00BE188C">
            <w:pPr>
              <w:pStyle w:val="Default"/>
              <w:rPr>
                <w:i/>
                <w:iCs/>
                <w:sz w:val="20"/>
                <w:szCs w:val="20"/>
              </w:rPr>
            </w:pPr>
            <w:r w:rsidRPr="00BE188C">
              <w:rPr>
                <w:i/>
                <w:iCs/>
                <w:sz w:val="20"/>
                <w:szCs w:val="20"/>
              </w:rPr>
              <w:t>Subject leader release when a focus:</w:t>
            </w:r>
          </w:p>
          <w:p w14:paraId="7F7F1FAE" w14:textId="77777777" w:rsidR="00BE188C" w:rsidRPr="00BE188C" w:rsidRDefault="00BE188C" w:rsidP="00BE188C">
            <w:pPr>
              <w:pStyle w:val="Default"/>
              <w:rPr>
                <w:i/>
                <w:iCs/>
                <w:sz w:val="20"/>
                <w:szCs w:val="20"/>
              </w:rPr>
            </w:pPr>
            <w:r w:rsidRPr="00BE188C">
              <w:rPr>
                <w:i/>
                <w:iCs/>
                <w:sz w:val="20"/>
                <w:szCs w:val="20"/>
              </w:rPr>
              <w:t>£3,000</w:t>
            </w:r>
          </w:p>
          <w:p w14:paraId="4AEF5BB9" w14:textId="77777777" w:rsidR="00BE188C" w:rsidRPr="00BE188C" w:rsidRDefault="00BE188C" w:rsidP="00BE188C">
            <w:pPr>
              <w:pStyle w:val="Default"/>
              <w:rPr>
                <w:i/>
                <w:iCs/>
                <w:sz w:val="20"/>
                <w:szCs w:val="20"/>
              </w:rPr>
            </w:pPr>
            <w:r w:rsidRPr="00BE188C">
              <w:rPr>
                <w:i/>
                <w:iCs/>
                <w:sz w:val="20"/>
                <w:szCs w:val="20"/>
              </w:rPr>
              <w:t>STSA adviser to support 5 sessions: £2500</w:t>
            </w:r>
          </w:p>
          <w:p w14:paraId="5B9EAD22" w14:textId="77777777" w:rsidR="00BE188C" w:rsidRPr="00BE188C" w:rsidRDefault="00BE188C" w:rsidP="00BE188C">
            <w:pPr>
              <w:pStyle w:val="Default"/>
              <w:rPr>
                <w:i/>
                <w:iCs/>
                <w:sz w:val="20"/>
                <w:szCs w:val="20"/>
              </w:rPr>
            </w:pPr>
          </w:p>
          <w:p w14:paraId="7164E4E3" w14:textId="77777777" w:rsidR="00BE188C" w:rsidRPr="00BE188C" w:rsidRDefault="00BE188C" w:rsidP="00BE188C">
            <w:pPr>
              <w:pStyle w:val="Default"/>
              <w:rPr>
                <w:i/>
                <w:iCs/>
                <w:color w:val="0D0D0D"/>
                <w:sz w:val="20"/>
                <w:szCs w:val="20"/>
              </w:rPr>
            </w:pPr>
            <w:r w:rsidRPr="00BE188C">
              <w:rPr>
                <w:i/>
                <w:iCs/>
                <w:sz w:val="20"/>
                <w:szCs w:val="20"/>
              </w:rPr>
              <w:t>Cornerstones Curriculum to be purchased and used to ensure progression of curriculum, with associated vocabulary.   £2750</w:t>
            </w:r>
          </w:p>
          <w:p w14:paraId="46ADDC1D" w14:textId="77777777" w:rsidR="00BE188C" w:rsidRPr="00BE188C" w:rsidRDefault="00BE188C" w:rsidP="00BE188C">
            <w:pPr>
              <w:pStyle w:val="Default"/>
              <w:rPr>
                <w:i/>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223EC" w14:textId="77777777" w:rsidR="00BE188C" w:rsidRPr="00BE188C" w:rsidRDefault="00BE188C" w:rsidP="00BE188C">
            <w:pPr>
              <w:pStyle w:val="TableRowCentered"/>
              <w:spacing w:before="0" w:after="0"/>
              <w:jc w:val="left"/>
              <w:rPr>
                <w:sz w:val="20"/>
              </w:rPr>
            </w:pPr>
            <w:r w:rsidRPr="00BE188C">
              <w:rPr>
                <w:b/>
                <w:bCs/>
                <w:color w:val="002060"/>
                <w:sz w:val="20"/>
              </w:rPr>
              <w:lastRenderedPageBreak/>
              <w:t>Sutton Trust</w:t>
            </w:r>
            <w:r w:rsidRPr="00BE188C">
              <w:rPr>
                <w:color w:val="002060"/>
                <w:sz w:val="20"/>
              </w:rPr>
              <w:t xml:space="preserve"> </w:t>
            </w:r>
            <w:r w:rsidRPr="00BE188C">
              <w:rPr>
                <w:sz w:val="20"/>
              </w:rPr>
              <w:t>– quality first teaching has direct impact on student outcomes.</w:t>
            </w:r>
          </w:p>
          <w:p w14:paraId="7C88D0F9" w14:textId="77777777" w:rsidR="00BE188C" w:rsidRPr="00BE188C" w:rsidRDefault="00BE188C" w:rsidP="00BE188C">
            <w:pPr>
              <w:pStyle w:val="TableRowCentered"/>
              <w:spacing w:before="0" w:after="0"/>
              <w:jc w:val="left"/>
              <w:rPr>
                <w:sz w:val="20"/>
              </w:rPr>
            </w:pPr>
          </w:p>
          <w:p w14:paraId="27C5E229" w14:textId="77777777" w:rsidR="00BE188C" w:rsidRPr="00BE188C" w:rsidRDefault="00BE188C" w:rsidP="00BE188C">
            <w:pPr>
              <w:pStyle w:val="TableRowCentered"/>
              <w:spacing w:before="0" w:after="0"/>
              <w:jc w:val="left"/>
              <w:rPr>
                <w:sz w:val="20"/>
              </w:rPr>
            </w:pPr>
            <w:r w:rsidRPr="00BE188C">
              <w:rPr>
                <w:b/>
                <w:bCs/>
                <w:color w:val="002060"/>
                <w:sz w:val="20"/>
              </w:rPr>
              <w:lastRenderedPageBreak/>
              <w:t xml:space="preserve">EEF Guide to Pupil Premium – tiered approach </w:t>
            </w:r>
            <w:r w:rsidRPr="00BE188C">
              <w:rPr>
                <w:sz w:val="20"/>
              </w:rPr>
              <w:t>– teaching is the top priority, including CPD.</w:t>
            </w:r>
          </w:p>
          <w:p w14:paraId="6D82028D" w14:textId="77777777" w:rsidR="00BE188C" w:rsidRPr="00BE188C" w:rsidRDefault="00BE188C" w:rsidP="00BE188C">
            <w:pPr>
              <w:pStyle w:val="TableRowCentered"/>
              <w:spacing w:before="0" w:after="0"/>
              <w:jc w:val="left"/>
              <w:rPr>
                <w:sz w:val="20"/>
              </w:rPr>
            </w:pPr>
          </w:p>
          <w:p w14:paraId="2FA8DC40" w14:textId="77777777" w:rsidR="00BE188C" w:rsidRPr="00BE188C" w:rsidRDefault="00BE188C" w:rsidP="00BE188C">
            <w:pPr>
              <w:pStyle w:val="TableRowCentered"/>
              <w:spacing w:before="0" w:after="0"/>
              <w:ind w:left="0"/>
              <w:jc w:val="left"/>
              <w:rPr>
                <w:sz w:val="20"/>
              </w:rPr>
            </w:pPr>
            <w:r w:rsidRPr="00BE188C">
              <w:rPr>
                <w:sz w:val="20"/>
              </w:rPr>
              <w:t xml:space="preserve">CPD for staff to deliver quality first teaching in English and Maths and to provided targeted support for PP children to accelerate progress and lessen the gap.    </w:t>
            </w:r>
          </w:p>
          <w:p w14:paraId="7C1654FE" w14:textId="77777777" w:rsidR="00BE188C" w:rsidRPr="00BE188C" w:rsidRDefault="00BE188C" w:rsidP="00BE188C">
            <w:pPr>
              <w:pStyle w:val="TableRowCentered"/>
              <w:spacing w:before="0" w:after="0"/>
              <w:ind w:left="0"/>
              <w:jc w:val="left"/>
              <w:rPr>
                <w:sz w:val="20"/>
              </w:rPr>
            </w:pPr>
          </w:p>
          <w:p w14:paraId="7FC79AFE" w14:textId="77777777" w:rsidR="00BE188C" w:rsidRPr="00BE188C" w:rsidRDefault="00BE188C" w:rsidP="00BE188C">
            <w:pPr>
              <w:pStyle w:val="TableRowCentered"/>
              <w:spacing w:before="0" w:after="0"/>
              <w:ind w:left="0"/>
              <w:jc w:val="left"/>
              <w:rPr>
                <w:sz w:val="20"/>
              </w:rPr>
            </w:pPr>
            <w:r w:rsidRPr="00BE188C">
              <w:rPr>
                <w:sz w:val="20"/>
              </w:rPr>
              <w:t xml:space="preserve">Subject Leaders and consultants to deliver CPD on specific areas identified to ensure all children are making progress and receiving targeted support, where needed.  </w:t>
            </w:r>
          </w:p>
          <w:p w14:paraId="2791F2E4" w14:textId="77777777" w:rsidR="00BE188C" w:rsidRPr="00BE188C" w:rsidRDefault="00BE188C" w:rsidP="00BE188C">
            <w:pPr>
              <w:pStyle w:val="TableRowCentered"/>
              <w:spacing w:before="0" w:after="0"/>
              <w:ind w:left="0"/>
              <w:jc w:val="left"/>
              <w:rPr>
                <w:sz w:val="20"/>
              </w:rPr>
            </w:pPr>
          </w:p>
          <w:p w14:paraId="251FEEF8" w14:textId="77777777" w:rsidR="00BE188C" w:rsidRPr="00BE188C" w:rsidRDefault="00BE188C" w:rsidP="00BE188C">
            <w:pPr>
              <w:pStyle w:val="TableRowCentered"/>
              <w:spacing w:before="0" w:after="0"/>
              <w:ind w:left="0"/>
              <w:jc w:val="left"/>
              <w:rPr>
                <w:sz w:val="20"/>
              </w:rPr>
            </w:pPr>
            <w:r w:rsidRPr="00BE188C">
              <w:rPr>
                <w:sz w:val="20"/>
              </w:rPr>
              <w:t xml:space="preserve">Subject Leaders to ensure the curriculum is carefully sequenced in all areas so that learning is progressive.  Vocabulary development to be included in curriculum plans.  </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F6746" w14:textId="77777777" w:rsidR="00BE188C" w:rsidRPr="00BE188C" w:rsidRDefault="00BE188C" w:rsidP="00BE188C">
            <w:pPr>
              <w:pStyle w:val="TableRowCentered"/>
              <w:spacing w:before="0" w:after="0"/>
              <w:ind w:left="0"/>
              <w:jc w:val="left"/>
              <w:rPr>
                <w:b/>
                <w:bCs/>
                <w:sz w:val="20"/>
              </w:rPr>
            </w:pPr>
            <w:r w:rsidRPr="00BE188C">
              <w:rPr>
                <w:b/>
                <w:bCs/>
                <w:sz w:val="20"/>
              </w:rPr>
              <w:lastRenderedPageBreak/>
              <w:t>1, 2, 3, 4, 5 and 6</w:t>
            </w:r>
          </w:p>
          <w:p w14:paraId="30C9D7B3" w14:textId="77777777" w:rsidR="00BE188C" w:rsidRPr="00BE188C" w:rsidRDefault="00BE188C" w:rsidP="00BE188C">
            <w:pPr>
              <w:pStyle w:val="TableRowCentered"/>
              <w:spacing w:before="0" w:after="0"/>
              <w:ind w:left="0"/>
              <w:jc w:val="left"/>
              <w:rPr>
                <w:color w:val="0070C0"/>
                <w:sz w:val="20"/>
              </w:rPr>
            </w:pPr>
          </w:p>
          <w:p w14:paraId="4A64BDC0" w14:textId="77777777" w:rsidR="00BE188C" w:rsidRPr="00BE188C" w:rsidRDefault="00BE188C" w:rsidP="00BE188C">
            <w:pPr>
              <w:pStyle w:val="TableRowCentered"/>
              <w:spacing w:before="0" w:after="0"/>
              <w:ind w:left="0"/>
              <w:jc w:val="left"/>
              <w:rPr>
                <w:sz w:val="20"/>
              </w:rPr>
            </w:pPr>
          </w:p>
        </w:tc>
      </w:tr>
      <w:tr w:rsidR="00BE188C" w:rsidRPr="00BE188C" w14:paraId="5E27D56F" w14:textId="77777777" w:rsidTr="008B13D7">
        <w:trPr>
          <w:trHeight w:val="1408"/>
        </w:trPr>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88F0" w14:textId="77777777" w:rsidR="00BE188C" w:rsidRPr="00BE188C" w:rsidRDefault="00BE188C" w:rsidP="00BE188C">
            <w:pPr>
              <w:pStyle w:val="Default"/>
              <w:rPr>
                <w:i/>
                <w:iCs/>
                <w:color w:val="0D0D0D"/>
                <w:sz w:val="20"/>
                <w:szCs w:val="20"/>
              </w:rPr>
            </w:pPr>
            <w:proofErr w:type="spellStart"/>
            <w:r w:rsidRPr="00BE188C">
              <w:rPr>
                <w:i/>
                <w:iCs/>
                <w:color w:val="0D0D0D"/>
                <w:sz w:val="20"/>
                <w:szCs w:val="20"/>
              </w:rPr>
              <w:lastRenderedPageBreak/>
              <w:t>RWInc</w:t>
            </w:r>
            <w:proofErr w:type="spellEnd"/>
            <w:r w:rsidRPr="00BE188C">
              <w:rPr>
                <w:i/>
                <w:iCs/>
                <w:color w:val="0D0D0D"/>
                <w:sz w:val="20"/>
                <w:szCs w:val="20"/>
              </w:rPr>
              <w:t xml:space="preserve"> coaching programme allowing the phonics </w:t>
            </w:r>
            <w:proofErr w:type="gramStart"/>
            <w:r w:rsidRPr="00BE188C">
              <w:rPr>
                <w:i/>
                <w:iCs/>
                <w:color w:val="0D0D0D"/>
                <w:sz w:val="20"/>
                <w:szCs w:val="20"/>
              </w:rPr>
              <w:t>lead</w:t>
            </w:r>
            <w:proofErr w:type="gramEnd"/>
            <w:r w:rsidRPr="00BE188C">
              <w:rPr>
                <w:i/>
                <w:iCs/>
                <w:color w:val="0D0D0D"/>
                <w:sz w:val="20"/>
                <w:szCs w:val="20"/>
              </w:rPr>
              <w:t xml:space="preserve"> to support less experienced members of staff fortnightly.</w:t>
            </w:r>
          </w:p>
          <w:p w14:paraId="6D06478F" w14:textId="77777777" w:rsidR="00BE188C" w:rsidRPr="00BE188C" w:rsidRDefault="00BE188C" w:rsidP="00BE188C">
            <w:pPr>
              <w:pStyle w:val="Default"/>
              <w:rPr>
                <w:i/>
                <w:iCs/>
                <w:color w:val="0D0D0D"/>
                <w:sz w:val="20"/>
                <w:szCs w:val="20"/>
              </w:rPr>
            </w:pPr>
          </w:p>
          <w:p w14:paraId="24F43A34" w14:textId="77777777" w:rsidR="00BE188C" w:rsidRPr="00BE188C" w:rsidRDefault="00BE188C" w:rsidP="00BE188C">
            <w:pPr>
              <w:pStyle w:val="Default"/>
              <w:rPr>
                <w:i/>
                <w:iCs/>
                <w:color w:val="0D0D0D"/>
                <w:sz w:val="20"/>
                <w:szCs w:val="20"/>
              </w:rPr>
            </w:pPr>
            <w:proofErr w:type="spellStart"/>
            <w:r w:rsidRPr="00BE188C">
              <w:rPr>
                <w:i/>
                <w:iCs/>
                <w:color w:val="0D0D0D"/>
                <w:sz w:val="20"/>
                <w:szCs w:val="20"/>
              </w:rPr>
              <w:t>RWInc</w:t>
            </w:r>
            <w:proofErr w:type="spellEnd"/>
            <w:r w:rsidRPr="00BE188C">
              <w:rPr>
                <w:i/>
                <w:iCs/>
                <w:color w:val="0D0D0D"/>
                <w:sz w:val="20"/>
                <w:szCs w:val="20"/>
              </w:rPr>
              <w:t xml:space="preserve"> consultant fee - £2,000</w:t>
            </w:r>
          </w:p>
          <w:p w14:paraId="48699D1B" w14:textId="77777777" w:rsidR="00BE188C" w:rsidRPr="00BE188C" w:rsidRDefault="00BE188C" w:rsidP="00BE188C">
            <w:pPr>
              <w:pStyle w:val="Default"/>
              <w:rPr>
                <w:i/>
                <w:iCs/>
                <w:color w:val="0D0D0D"/>
                <w:sz w:val="20"/>
                <w:szCs w:val="20"/>
              </w:rPr>
            </w:pPr>
          </w:p>
          <w:p w14:paraId="16BCE1D6" w14:textId="6B7B5F5D" w:rsidR="00BE188C" w:rsidRPr="00BE188C" w:rsidRDefault="00BE188C" w:rsidP="00BE188C">
            <w:pPr>
              <w:pStyle w:val="Default"/>
              <w:rPr>
                <w:i/>
                <w:sz w:val="20"/>
                <w:szCs w:val="20"/>
              </w:rPr>
            </w:pPr>
            <w:r w:rsidRPr="00BE188C">
              <w:rPr>
                <w:i/>
                <w:sz w:val="20"/>
                <w:szCs w:val="20"/>
              </w:rPr>
              <w:t>SENDCo to deliver high-quality coaching and monitor provision:</w:t>
            </w:r>
            <w:r w:rsidR="00795B33">
              <w:rPr>
                <w:i/>
                <w:sz w:val="20"/>
                <w:szCs w:val="20"/>
              </w:rPr>
              <w:t xml:space="preserve"> </w:t>
            </w:r>
            <w:r w:rsidRPr="00BE188C">
              <w:rPr>
                <w:i/>
                <w:sz w:val="20"/>
                <w:szCs w:val="20"/>
              </w:rPr>
              <w:t>£5,000</w:t>
            </w:r>
          </w:p>
          <w:p w14:paraId="67309E17" w14:textId="77777777" w:rsidR="00BE188C" w:rsidRPr="00BE188C" w:rsidRDefault="00BE188C" w:rsidP="00BE188C">
            <w:pPr>
              <w:pStyle w:val="Default"/>
              <w:rPr>
                <w:i/>
                <w:sz w:val="20"/>
                <w:szCs w:val="20"/>
              </w:rPr>
            </w:pPr>
          </w:p>
          <w:p w14:paraId="2928022C" w14:textId="46BCFE8A" w:rsidR="00BE188C" w:rsidRPr="00BE188C" w:rsidRDefault="00BE188C" w:rsidP="00BE188C">
            <w:pPr>
              <w:pStyle w:val="Default"/>
              <w:rPr>
                <w:i/>
                <w:iCs/>
                <w:color w:val="0D0D0D"/>
                <w:sz w:val="20"/>
                <w:szCs w:val="20"/>
              </w:rPr>
            </w:pPr>
            <w:r w:rsidRPr="00BE188C">
              <w:rPr>
                <w:i/>
                <w:sz w:val="20"/>
                <w:szCs w:val="20"/>
              </w:rPr>
              <w:t xml:space="preserve">Purchase of books and resources for </w:t>
            </w:r>
            <w:proofErr w:type="spellStart"/>
            <w:r w:rsidRPr="00BE188C">
              <w:rPr>
                <w:i/>
                <w:sz w:val="20"/>
                <w:szCs w:val="20"/>
              </w:rPr>
              <w:t>RWInc</w:t>
            </w:r>
            <w:proofErr w:type="spellEnd"/>
            <w:r w:rsidRPr="00BE188C">
              <w:rPr>
                <w:i/>
                <w:sz w:val="20"/>
                <w:szCs w:val="20"/>
              </w:rPr>
              <w:t>: £5,000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121F" w14:textId="77777777" w:rsidR="00BE188C" w:rsidRPr="00BE188C" w:rsidRDefault="00BE188C" w:rsidP="00BE188C">
            <w:pPr>
              <w:pStyle w:val="TableRowCentered"/>
              <w:spacing w:before="0" w:after="0"/>
              <w:jc w:val="left"/>
              <w:rPr>
                <w:sz w:val="20"/>
              </w:rPr>
            </w:pPr>
            <w:r w:rsidRPr="00BE188C">
              <w:rPr>
                <w:b/>
                <w:bCs/>
                <w:color w:val="002060"/>
                <w:sz w:val="20"/>
              </w:rPr>
              <w:t>EEF Guide to Pupil Premium – tiered approach</w:t>
            </w:r>
            <w:r w:rsidRPr="00BE188C">
              <w:rPr>
                <w:color w:val="002060"/>
                <w:sz w:val="20"/>
              </w:rPr>
              <w:t xml:space="preserve"> </w:t>
            </w:r>
            <w:r w:rsidRPr="00BE188C">
              <w:rPr>
                <w:sz w:val="20"/>
              </w:rPr>
              <w:t>– teaching is the top priority, including CPD.</w:t>
            </w:r>
          </w:p>
          <w:p w14:paraId="280C1BAF" w14:textId="77777777" w:rsidR="00BE188C" w:rsidRPr="00BE188C" w:rsidRDefault="00BE188C" w:rsidP="00BE188C">
            <w:pPr>
              <w:pStyle w:val="TableRowCentered"/>
              <w:spacing w:before="0" w:after="0"/>
              <w:jc w:val="left"/>
              <w:rPr>
                <w:sz w:val="20"/>
              </w:rPr>
            </w:pPr>
          </w:p>
          <w:p w14:paraId="738EDC1E" w14:textId="77777777" w:rsidR="00BE188C" w:rsidRPr="00BE188C" w:rsidRDefault="00BE188C" w:rsidP="00BE188C">
            <w:pPr>
              <w:pStyle w:val="TableRowCentered"/>
              <w:spacing w:before="0" w:after="0"/>
              <w:jc w:val="left"/>
              <w:rPr>
                <w:sz w:val="20"/>
              </w:rPr>
            </w:pPr>
            <w:r w:rsidRPr="00BE188C">
              <w:rPr>
                <w:sz w:val="20"/>
              </w:rPr>
              <w:t xml:space="preserve">To purchase further </w:t>
            </w:r>
            <w:proofErr w:type="spellStart"/>
            <w:r w:rsidRPr="00BE188C">
              <w:rPr>
                <w:sz w:val="20"/>
              </w:rPr>
              <w:t>RWInc</w:t>
            </w:r>
            <w:proofErr w:type="spellEnd"/>
            <w:r w:rsidRPr="00BE188C">
              <w:rPr>
                <w:sz w:val="20"/>
              </w:rPr>
              <w:t xml:space="preserve"> resources and books for teaching.</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F590B" w14:textId="77777777" w:rsidR="00BE188C" w:rsidRPr="00BE188C" w:rsidRDefault="00BE188C" w:rsidP="00BE188C">
            <w:pPr>
              <w:pStyle w:val="TableRowCentered"/>
              <w:spacing w:before="0" w:after="0"/>
              <w:jc w:val="left"/>
              <w:rPr>
                <w:b/>
                <w:bCs/>
                <w:sz w:val="20"/>
              </w:rPr>
            </w:pPr>
            <w:r w:rsidRPr="00BE188C">
              <w:rPr>
                <w:b/>
                <w:bCs/>
                <w:sz w:val="20"/>
              </w:rPr>
              <w:t>4 and 5</w:t>
            </w:r>
          </w:p>
        </w:tc>
      </w:tr>
    </w:tbl>
    <w:p w14:paraId="3933E661" w14:textId="77777777" w:rsidR="00BE188C" w:rsidRDefault="00BE188C" w:rsidP="008B13D7">
      <w:pPr>
        <w:spacing w:after="0" w:line="240" w:lineRule="auto"/>
      </w:pPr>
    </w:p>
    <w:p w14:paraId="54711CCA" w14:textId="2E221BA8" w:rsidR="008B13D7" w:rsidRDefault="008B13D7" w:rsidP="008B13D7">
      <w:pPr>
        <w:pStyle w:val="Heading3"/>
        <w:spacing w:before="0" w:after="0" w:line="240" w:lineRule="auto"/>
        <w:rPr>
          <w:rFonts w:cs="Arial"/>
          <w:b/>
          <w:bCs/>
          <w:sz w:val="24"/>
          <w:szCs w:val="24"/>
        </w:rPr>
      </w:pPr>
      <w:r w:rsidRPr="008B13D7">
        <w:rPr>
          <w:rFonts w:cs="Arial"/>
          <w:b/>
          <w:bCs/>
          <w:sz w:val="24"/>
          <w:szCs w:val="24"/>
        </w:rPr>
        <w:t xml:space="preserve">Targeted </w:t>
      </w:r>
      <w:r>
        <w:rPr>
          <w:rFonts w:cs="Arial"/>
          <w:b/>
          <w:bCs/>
          <w:sz w:val="24"/>
          <w:szCs w:val="24"/>
        </w:rPr>
        <w:t>A</w:t>
      </w:r>
      <w:r w:rsidRPr="008B13D7">
        <w:rPr>
          <w:rFonts w:cs="Arial"/>
          <w:b/>
          <w:bCs/>
          <w:sz w:val="24"/>
          <w:szCs w:val="24"/>
        </w:rPr>
        <w:t xml:space="preserve">cademic </w:t>
      </w:r>
      <w:r>
        <w:rPr>
          <w:rFonts w:cs="Arial"/>
          <w:b/>
          <w:bCs/>
          <w:sz w:val="24"/>
          <w:szCs w:val="24"/>
        </w:rPr>
        <w:t>S</w:t>
      </w:r>
      <w:r w:rsidRPr="008B13D7">
        <w:rPr>
          <w:rFonts w:cs="Arial"/>
          <w:b/>
          <w:bCs/>
          <w:sz w:val="24"/>
          <w:szCs w:val="24"/>
        </w:rPr>
        <w:t xml:space="preserve">upport </w:t>
      </w:r>
    </w:p>
    <w:p w14:paraId="56B58875" w14:textId="38B35FDB" w:rsidR="008B13D7" w:rsidRPr="008B13D7" w:rsidRDefault="008B13D7" w:rsidP="008B13D7">
      <w:pPr>
        <w:pStyle w:val="Heading3"/>
        <w:spacing w:before="0" w:after="0" w:line="240" w:lineRule="auto"/>
        <w:rPr>
          <w:rFonts w:cs="Arial"/>
          <w:b/>
          <w:bCs/>
          <w:i/>
          <w:iCs/>
          <w:sz w:val="24"/>
          <w:szCs w:val="24"/>
        </w:rPr>
      </w:pPr>
      <w:r w:rsidRPr="008B13D7">
        <w:rPr>
          <w:rFonts w:cs="Arial"/>
          <w:b/>
          <w:bCs/>
          <w:i/>
          <w:iCs/>
          <w:sz w:val="24"/>
          <w:szCs w:val="24"/>
        </w:rPr>
        <w:t xml:space="preserve">(for example, tutoring, one-to-one support, structured interventions) </w:t>
      </w:r>
    </w:p>
    <w:p w14:paraId="0D40D25D" w14:textId="77777777" w:rsidR="008B13D7" w:rsidRPr="008B13D7" w:rsidRDefault="008B13D7" w:rsidP="008B13D7">
      <w:pPr>
        <w:spacing w:after="0" w:line="240" w:lineRule="auto"/>
        <w:rPr>
          <w:rFonts w:cs="Arial"/>
          <w:sz w:val="20"/>
          <w:szCs w:val="20"/>
        </w:rPr>
      </w:pPr>
      <w:r w:rsidRPr="008B13D7">
        <w:rPr>
          <w:rFonts w:cs="Arial"/>
          <w:sz w:val="20"/>
          <w:szCs w:val="20"/>
        </w:rPr>
        <w:t>Budgeted cost: £53,748</w:t>
      </w:r>
    </w:p>
    <w:tbl>
      <w:tblPr>
        <w:tblW w:w="5000" w:type="pct"/>
        <w:tblCellMar>
          <w:left w:w="10" w:type="dxa"/>
          <w:right w:w="10" w:type="dxa"/>
        </w:tblCellMar>
        <w:tblLook w:val="04A0" w:firstRow="1" w:lastRow="0" w:firstColumn="1" w:lastColumn="0" w:noHBand="0" w:noVBand="1"/>
      </w:tblPr>
      <w:tblGrid>
        <w:gridCol w:w="2963"/>
        <w:gridCol w:w="4689"/>
        <w:gridCol w:w="2804"/>
      </w:tblGrid>
      <w:tr w:rsidR="008B13D7" w:rsidRPr="008B13D7" w14:paraId="7FDCED05" w14:textId="77777777" w:rsidTr="00334AA7">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AD2F5CE" w14:textId="77777777" w:rsidR="008B13D7" w:rsidRPr="008B13D7" w:rsidRDefault="008B13D7" w:rsidP="00334AA7">
            <w:pPr>
              <w:pStyle w:val="TableHeader"/>
              <w:jc w:val="left"/>
              <w:rPr>
                <w:rFonts w:cs="Arial"/>
                <w:sz w:val="20"/>
                <w:szCs w:val="20"/>
              </w:rPr>
            </w:pPr>
            <w:r w:rsidRPr="008B13D7">
              <w:rPr>
                <w:rFonts w:cs="Arial"/>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A2CA644" w14:textId="77777777" w:rsidR="008B13D7" w:rsidRPr="008B13D7" w:rsidRDefault="008B13D7" w:rsidP="00334AA7">
            <w:pPr>
              <w:pStyle w:val="TableHeader"/>
              <w:jc w:val="left"/>
              <w:rPr>
                <w:rFonts w:cs="Arial"/>
                <w:sz w:val="20"/>
                <w:szCs w:val="20"/>
              </w:rPr>
            </w:pPr>
            <w:r w:rsidRPr="008B13D7">
              <w:rPr>
                <w:rFonts w:cs="Arial"/>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DF37503" w14:textId="77777777" w:rsidR="008B13D7" w:rsidRPr="008B13D7" w:rsidRDefault="008B13D7" w:rsidP="00334AA7">
            <w:pPr>
              <w:pStyle w:val="TableHeader"/>
              <w:jc w:val="left"/>
              <w:rPr>
                <w:rFonts w:cs="Arial"/>
                <w:sz w:val="20"/>
                <w:szCs w:val="20"/>
              </w:rPr>
            </w:pPr>
            <w:r w:rsidRPr="008B13D7">
              <w:rPr>
                <w:rFonts w:cs="Arial"/>
                <w:sz w:val="20"/>
                <w:szCs w:val="20"/>
              </w:rPr>
              <w:t>Challenge number(s) addressed</w:t>
            </w:r>
          </w:p>
        </w:tc>
      </w:tr>
      <w:tr w:rsidR="008B13D7" w:rsidRPr="008B13D7" w14:paraId="01BA7667"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DF9C"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Targeted Speech and Language support across EYFS, delivered by a TA and/or SENDCo</w:t>
            </w:r>
          </w:p>
          <w:p w14:paraId="4CF85B2F"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£3,000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EE90C" w14:textId="77777777" w:rsidR="008B13D7" w:rsidRPr="008B13D7" w:rsidRDefault="008B13D7" w:rsidP="008B13D7">
            <w:pPr>
              <w:pStyle w:val="TableRowCentered"/>
              <w:spacing w:before="0" w:after="0"/>
              <w:ind w:left="0"/>
              <w:jc w:val="left"/>
              <w:rPr>
                <w:rFonts w:cs="Arial"/>
                <w:i/>
                <w:iCs/>
                <w:color w:val="0070C0"/>
                <w:sz w:val="20"/>
              </w:rPr>
            </w:pPr>
            <w:r w:rsidRPr="008B13D7">
              <w:rPr>
                <w:rFonts w:cs="Arial"/>
                <w:b/>
                <w:bCs/>
                <w:color w:val="002060"/>
                <w:sz w:val="20"/>
              </w:rPr>
              <w:t>EEF Teaching and Learning Toolkit – Small Group Tuition</w:t>
            </w:r>
          </w:p>
          <w:p w14:paraId="12CF5C6F" w14:textId="77777777" w:rsidR="008B13D7" w:rsidRPr="008B13D7" w:rsidRDefault="008B13D7" w:rsidP="008B13D7">
            <w:pPr>
              <w:pStyle w:val="TableRowCentered"/>
              <w:spacing w:before="0" w:after="0"/>
              <w:ind w:left="0"/>
              <w:jc w:val="left"/>
              <w:rPr>
                <w:rFonts w:cs="Arial"/>
                <w:sz w:val="20"/>
              </w:rPr>
            </w:pPr>
            <w:r w:rsidRPr="008B13D7">
              <w:rPr>
                <w:rFonts w:cs="Arial"/>
                <w:sz w:val="20"/>
              </w:rPr>
              <w:t>Small group tuition is defined as one teacher, trained teaching assistant or tutor working with two to five pupils together in a group. This arrangement enables the teaching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3819D788" w14:textId="77777777" w:rsidR="008B13D7" w:rsidRPr="008B13D7" w:rsidRDefault="008B13D7" w:rsidP="008B13D7">
            <w:pPr>
              <w:pStyle w:val="TableRowCentered"/>
              <w:spacing w:before="0" w:after="0"/>
              <w:ind w:left="0"/>
              <w:jc w:val="left"/>
              <w:rPr>
                <w:rFonts w:cs="Arial"/>
                <w:i/>
                <w:iCs/>
                <w:color w:val="auto"/>
                <w:sz w:val="20"/>
              </w:rPr>
            </w:pPr>
            <w:r w:rsidRPr="008B13D7">
              <w:rPr>
                <w:rFonts w:cs="Arial"/>
                <w:i/>
                <w:iCs/>
                <w:color w:val="auto"/>
                <w:sz w:val="20"/>
              </w:rPr>
              <w:t>The average impact of the small group tuition is four additional months’ progress, on average, over the course of a year.</w:t>
            </w:r>
          </w:p>
          <w:p w14:paraId="526E41A4" w14:textId="77777777" w:rsidR="008B13D7" w:rsidRPr="008B13D7" w:rsidRDefault="008B13D7" w:rsidP="008B13D7">
            <w:pPr>
              <w:pStyle w:val="TableRowCentered"/>
              <w:spacing w:before="0" w:after="0"/>
              <w:ind w:left="0"/>
              <w:jc w:val="left"/>
              <w:rPr>
                <w:rFonts w:cs="Arial"/>
                <w:b/>
                <w:bCs/>
                <w:color w:val="002060"/>
                <w:sz w:val="20"/>
              </w:rPr>
            </w:pPr>
          </w:p>
          <w:p w14:paraId="6AD9041F" w14:textId="77777777" w:rsidR="008B13D7" w:rsidRPr="008B13D7" w:rsidRDefault="008B13D7" w:rsidP="008B13D7">
            <w:pPr>
              <w:pStyle w:val="TableRowCentered"/>
              <w:spacing w:before="0" w:after="0"/>
              <w:ind w:left="0"/>
              <w:jc w:val="left"/>
              <w:rPr>
                <w:rFonts w:cs="Arial"/>
                <w:color w:val="auto"/>
                <w:sz w:val="20"/>
              </w:rPr>
            </w:pPr>
            <w:r w:rsidRPr="008B13D7">
              <w:rPr>
                <w:rFonts w:cs="Arial"/>
                <w:color w:val="auto"/>
                <w:sz w:val="20"/>
              </w:rPr>
              <w:t>On analysing the baseline entry data and Stoke Speaks Out Assessment data for Nursery and Reception several pupils have been identified as requiring in school support and some have been identified as requiring external agency support.</w:t>
            </w:r>
          </w:p>
          <w:p w14:paraId="22800769" w14:textId="77777777" w:rsidR="008B13D7" w:rsidRPr="008B13D7" w:rsidRDefault="008B13D7" w:rsidP="008B13D7">
            <w:pPr>
              <w:pStyle w:val="TableRowCentered"/>
              <w:spacing w:before="0" w:after="0"/>
              <w:ind w:left="0"/>
              <w:jc w:val="left"/>
              <w:rPr>
                <w:rFonts w:cs="Arial"/>
                <w:color w:val="002060"/>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8FB39" w14:textId="77777777" w:rsidR="008B13D7" w:rsidRPr="008B13D7" w:rsidRDefault="008B13D7" w:rsidP="008B13D7">
            <w:pPr>
              <w:pStyle w:val="TableRowCentered"/>
              <w:spacing w:before="0" w:after="0"/>
              <w:jc w:val="left"/>
              <w:rPr>
                <w:rFonts w:cs="Arial"/>
                <w:b/>
                <w:bCs/>
                <w:sz w:val="20"/>
              </w:rPr>
            </w:pPr>
            <w:r w:rsidRPr="008B13D7">
              <w:rPr>
                <w:rFonts w:cs="Arial"/>
                <w:b/>
                <w:bCs/>
                <w:sz w:val="20"/>
              </w:rPr>
              <w:t>1 and 3</w:t>
            </w:r>
          </w:p>
        </w:tc>
      </w:tr>
      <w:tr w:rsidR="008B13D7" w:rsidRPr="008B13D7" w14:paraId="7B60EF8E"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05D6"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 xml:space="preserve">Targeted phonic tuition to be planned across Reception and Year 1 targeting blending and application of sound knowledge, delivered by TAs and/or teachers.  To include </w:t>
            </w:r>
            <w:r w:rsidRPr="008B13D7">
              <w:rPr>
                <w:rFonts w:cs="Arial"/>
                <w:i/>
                <w:iCs/>
                <w:sz w:val="20"/>
                <w:szCs w:val="20"/>
              </w:rPr>
              <w:lastRenderedPageBreak/>
              <w:t xml:space="preserve">Literacy Pathway (training of x2 </w:t>
            </w:r>
            <w:proofErr w:type="gramStart"/>
            <w:r w:rsidRPr="008B13D7">
              <w:rPr>
                <w:rFonts w:cs="Arial"/>
                <w:i/>
                <w:iCs/>
                <w:sz w:val="20"/>
                <w:szCs w:val="20"/>
              </w:rPr>
              <w:t>TA’s</w:t>
            </w:r>
            <w:proofErr w:type="gramEnd"/>
            <w:r w:rsidRPr="008B13D7">
              <w:rPr>
                <w:rFonts w:cs="Arial"/>
                <w:i/>
                <w:iCs/>
                <w:sz w:val="20"/>
                <w:szCs w:val="20"/>
              </w:rPr>
              <w:t xml:space="preserve"> for 2 mornings)</w:t>
            </w:r>
          </w:p>
          <w:p w14:paraId="30B5DA55"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£12,000</w:t>
            </w:r>
          </w:p>
          <w:p w14:paraId="4B85B576"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 xml:space="preserve">(every afternoon with identified children, 3 TA’s, 1 hour, 38 weeks).   </w:t>
            </w:r>
          </w:p>
          <w:p w14:paraId="638F4DC0"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Training provided by RWI consultant and SENDCo (Cost of RWI in earlier section).</w:t>
            </w:r>
          </w:p>
          <w:p w14:paraId="0BA6AF72" w14:textId="77777777" w:rsidR="008B13D7" w:rsidRPr="008B13D7" w:rsidRDefault="008B13D7" w:rsidP="008B13D7">
            <w:pPr>
              <w:pStyle w:val="TableRow"/>
              <w:spacing w:before="0" w:after="0"/>
              <w:rPr>
                <w:rFonts w:cs="Arial"/>
                <w:i/>
                <w:iCs/>
                <w:sz w:val="20"/>
                <w:szCs w:val="20"/>
              </w:rPr>
            </w:pPr>
          </w:p>
          <w:p w14:paraId="14A56316" w14:textId="77777777" w:rsidR="008B13D7" w:rsidRPr="008B13D7" w:rsidRDefault="008B13D7" w:rsidP="008B13D7">
            <w:pPr>
              <w:pStyle w:val="TableRow"/>
              <w:spacing w:before="0" w:after="0"/>
              <w:rPr>
                <w:rFonts w:cs="Arial"/>
                <w:i/>
                <w:iCs/>
                <w:sz w:val="20"/>
                <w:szCs w:val="20"/>
              </w:rPr>
            </w:pPr>
            <w:r w:rsidRPr="008B13D7">
              <w:rPr>
                <w:rFonts w:cs="Arial"/>
                <w:i/>
                <w:iCs/>
                <w:sz w:val="20"/>
                <w:szCs w:val="20"/>
              </w:rPr>
              <w:t>IDL used to support individual children: £748</w:t>
            </w:r>
          </w:p>
          <w:p w14:paraId="27D6FF16" w14:textId="77777777" w:rsidR="008B13D7" w:rsidRPr="008B13D7" w:rsidRDefault="008B13D7" w:rsidP="008B13D7">
            <w:pPr>
              <w:pStyle w:val="TableRow"/>
              <w:spacing w:before="0" w:after="0"/>
              <w:rPr>
                <w:rFonts w:cs="Arial"/>
                <w:sz w:val="20"/>
                <w:szCs w:val="20"/>
              </w:rPr>
            </w:pPr>
          </w:p>
          <w:p w14:paraId="7E04BC64" w14:textId="77777777" w:rsidR="008B13D7" w:rsidRPr="008B13D7" w:rsidRDefault="008B13D7" w:rsidP="008B13D7">
            <w:pPr>
              <w:pStyle w:val="TableRow"/>
              <w:spacing w:before="0" w:after="0"/>
              <w:rPr>
                <w:rFonts w:cs="Arial"/>
                <w:i/>
                <w:sz w:val="20"/>
                <w:szCs w:val="20"/>
              </w:rPr>
            </w:pPr>
            <w:r w:rsidRPr="008B13D7">
              <w:rPr>
                <w:rFonts w:cs="Arial"/>
                <w:i/>
                <w:sz w:val="20"/>
                <w:szCs w:val="20"/>
              </w:rPr>
              <w:t xml:space="preserve">Cost for non- teaching deputy to deliver TA and staff CPD programme and monitor provision of DA learners.  £5,000 </w:t>
            </w:r>
          </w:p>
          <w:p w14:paraId="16BC3A86" w14:textId="77777777" w:rsidR="008B13D7" w:rsidRPr="008B13D7" w:rsidRDefault="008B13D7" w:rsidP="008B13D7">
            <w:pPr>
              <w:pStyle w:val="TableRow"/>
              <w:spacing w:before="0" w:after="0"/>
              <w:rPr>
                <w:rFonts w:cs="Arial"/>
                <w:i/>
                <w:sz w:val="20"/>
                <w:szCs w:val="20"/>
              </w:rPr>
            </w:pPr>
          </w:p>
          <w:p w14:paraId="4E1DD343" w14:textId="77777777" w:rsidR="008B13D7" w:rsidRPr="008B13D7" w:rsidRDefault="008B13D7" w:rsidP="008B13D7">
            <w:pPr>
              <w:pStyle w:val="TableRow"/>
              <w:spacing w:before="0" w:after="0"/>
              <w:rPr>
                <w:rFonts w:cs="Arial"/>
                <w:sz w:val="20"/>
                <w:szCs w:val="20"/>
              </w:rPr>
            </w:pPr>
            <w:r w:rsidRPr="008B13D7">
              <w:rPr>
                <w:rFonts w:cs="Arial"/>
                <w:i/>
                <w:sz w:val="20"/>
                <w:szCs w:val="20"/>
              </w:rPr>
              <w:t>SENDCo to deliver high-quality CPD and monitor provision.   £5,000</w:t>
            </w:r>
          </w:p>
          <w:p w14:paraId="693E8E19" w14:textId="77777777" w:rsidR="008B13D7" w:rsidRPr="008B13D7" w:rsidRDefault="008B13D7" w:rsidP="008B13D7">
            <w:pPr>
              <w:pStyle w:val="TableRow"/>
              <w:spacing w:before="0" w:after="0"/>
              <w:rPr>
                <w:rFonts w:cs="Arial"/>
                <w:sz w:val="20"/>
                <w:szCs w:val="20"/>
              </w:rPr>
            </w:pPr>
          </w:p>
          <w:p w14:paraId="1FDE5057" w14:textId="77777777" w:rsidR="008B13D7" w:rsidRPr="008B13D7" w:rsidRDefault="008B13D7" w:rsidP="008B13D7">
            <w:pPr>
              <w:pStyle w:val="Default"/>
              <w:rPr>
                <w:i/>
                <w:color w:val="0D0D0D"/>
                <w:sz w:val="20"/>
                <w:szCs w:val="20"/>
              </w:rPr>
            </w:pPr>
            <w:r w:rsidRPr="008B13D7">
              <w:rPr>
                <w:i/>
                <w:color w:val="0D0D0D"/>
                <w:sz w:val="20"/>
                <w:szCs w:val="20"/>
              </w:rPr>
              <w:t xml:space="preserve">Early Reading </w:t>
            </w:r>
            <w:proofErr w:type="gramStart"/>
            <w:r w:rsidRPr="008B13D7">
              <w:rPr>
                <w:i/>
                <w:color w:val="0D0D0D"/>
                <w:sz w:val="20"/>
                <w:szCs w:val="20"/>
              </w:rPr>
              <w:t>Lead</w:t>
            </w:r>
            <w:proofErr w:type="gramEnd"/>
            <w:r w:rsidRPr="008B13D7">
              <w:rPr>
                <w:i/>
                <w:color w:val="0D0D0D"/>
                <w:sz w:val="20"/>
                <w:szCs w:val="20"/>
              </w:rPr>
              <w:t xml:space="preserve"> to deliver high-quality coaching and monitor provision in Phonics across EYFS and KS1.</w:t>
            </w:r>
          </w:p>
          <w:p w14:paraId="2EBCEBBA" w14:textId="77777777" w:rsidR="008B13D7" w:rsidRPr="008B13D7" w:rsidRDefault="008B13D7" w:rsidP="008B13D7">
            <w:pPr>
              <w:pStyle w:val="Default"/>
              <w:rPr>
                <w:i/>
                <w:color w:val="0D0D0D"/>
                <w:sz w:val="20"/>
                <w:szCs w:val="20"/>
              </w:rPr>
            </w:pPr>
            <w:r w:rsidRPr="008B13D7">
              <w:rPr>
                <w:i/>
                <w:color w:val="0D0D0D"/>
                <w:sz w:val="20"/>
                <w:szCs w:val="20"/>
              </w:rPr>
              <w:t>£5,000</w:t>
            </w:r>
          </w:p>
          <w:p w14:paraId="20AC1B69" w14:textId="77777777" w:rsidR="008B13D7" w:rsidRPr="008B13D7" w:rsidRDefault="008B13D7" w:rsidP="008B13D7">
            <w:pPr>
              <w:pStyle w:val="TableRow"/>
              <w:spacing w:before="0" w:after="0"/>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40A6" w14:textId="77777777" w:rsidR="008B13D7" w:rsidRPr="008B13D7" w:rsidRDefault="008B13D7" w:rsidP="008B13D7">
            <w:pPr>
              <w:pStyle w:val="TableRowCentered"/>
              <w:spacing w:before="0" w:after="0"/>
              <w:ind w:left="0"/>
              <w:jc w:val="left"/>
              <w:rPr>
                <w:rFonts w:cs="Arial"/>
                <w:i/>
                <w:iCs/>
                <w:color w:val="0070C0"/>
                <w:sz w:val="20"/>
              </w:rPr>
            </w:pPr>
            <w:r w:rsidRPr="008B13D7">
              <w:rPr>
                <w:rFonts w:cs="Arial"/>
                <w:b/>
                <w:bCs/>
                <w:color w:val="002060"/>
                <w:sz w:val="20"/>
              </w:rPr>
              <w:lastRenderedPageBreak/>
              <w:t>EEF Teaching and Learning Toolkit – One to One Tuition</w:t>
            </w:r>
          </w:p>
          <w:p w14:paraId="0950C7F2" w14:textId="77777777" w:rsidR="008B13D7" w:rsidRPr="008B13D7" w:rsidRDefault="008B13D7" w:rsidP="008B13D7">
            <w:pPr>
              <w:pStyle w:val="TableRowCentered"/>
              <w:spacing w:before="0" w:after="0"/>
              <w:ind w:left="0"/>
              <w:jc w:val="left"/>
              <w:rPr>
                <w:rFonts w:cs="Arial"/>
                <w:color w:val="auto"/>
                <w:sz w:val="20"/>
              </w:rPr>
            </w:pPr>
            <w:r w:rsidRPr="008B13D7">
              <w:rPr>
                <w:rFonts w:cs="Arial"/>
                <w:color w:val="auto"/>
                <w:sz w:val="20"/>
              </w:rPr>
              <w:t>One to one tuition involves a teacher, teaching assistant or other adult giving a pupil intensive individual support. It may happen outside of normal lessons as additional teaching</w:t>
            </w:r>
          </w:p>
          <w:p w14:paraId="7B1345C2" w14:textId="77777777" w:rsidR="008B13D7" w:rsidRPr="008B13D7" w:rsidRDefault="008B13D7" w:rsidP="008B13D7">
            <w:pPr>
              <w:pStyle w:val="TableRowCentered"/>
              <w:spacing w:before="0" w:after="0"/>
              <w:ind w:left="0"/>
              <w:jc w:val="left"/>
              <w:rPr>
                <w:rFonts w:cs="Arial"/>
                <w:i/>
                <w:iCs/>
                <w:color w:val="auto"/>
                <w:sz w:val="20"/>
              </w:rPr>
            </w:pPr>
            <w:r w:rsidRPr="008B13D7">
              <w:rPr>
                <w:rFonts w:cs="Arial"/>
                <w:i/>
                <w:iCs/>
                <w:color w:val="auto"/>
                <w:sz w:val="20"/>
              </w:rPr>
              <w:lastRenderedPageBreak/>
              <w:t>Evidence indicates that one to one tuition can be effective, providing approximately five additional months’ progress on average.</w:t>
            </w:r>
          </w:p>
          <w:p w14:paraId="2D68222F" w14:textId="77777777" w:rsidR="008B13D7" w:rsidRPr="008B13D7" w:rsidRDefault="008B13D7" w:rsidP="008B13D7">
            <w:pPr>
              <w:pStyle w:val="TableRowCentered"/>
              <w:spacing w:before="0" w:after="0"/>
              <w:ind w:left="0"/>
              <w:jc w:val="left"/>
              <w:rPr>
                <w:rFonts w:cs="Arial"/>
                <w:i/>
                <w:iCs/>
                <w:color w:val="0070C0"/>
                <w:sz w:val="20"/>
              </w:rPr>
            </w:pPr>
          </w:p>
          <w:p w14:paraId="0EF41E8C" w14:textId="77777777" w:rsidR="008B13D7" w:rsidRPr="008B13D7" w:rsidRDefault="008B13D7" w:rsidP="008B13D7">
            <w:pPr>
              <w:pStyle w:val="TableRowCentered"/>
              <w:spacing w:before="0" w:after="0"/>
              <w:ind w:left="0"/>
              <w:jc w:val="left"/>
              <w:rPr>
                <w:rFonts w:cs="Arial"/>
                <w:color w:val="auto"/>
                <w:sz w:val="20"/>
              </w:rPr>
            </w:pPr>
            <w:r w:rsidRPr="008B13D7">
              <w:rPr>
                <w:rFonts w:cs="Arial"/>
                <w:color w:val="auto"/>
                <w:sz w:val="20"/>
              </w:rPr>
              <w:t xml:space="preserve">Analysis of </w:t>
            </w:r>
            <w:proofErr w:type="spellStart"/>
            <w:r w:rsidRPr="008B13D7">
              <w:rPr>
                <w:rFonts w:cs="Arial"/>
                <w:color w:val="auto"/>
                <w:sz w:val="20"/>
              </w:rPr>
              <w:t>RWInc</w:t>
            </w:r>
            <w:proofErr w:type="spellEnd"/>
            <w:r w:rsidRPr="008B13D7">
              <w:rPr>
                <w:rFonts w:cs="Arial"/>
                <w:color w:val="auto"/>
                <w:sz w:val="20"/>
              </w:rPr>
              <w:t xml:space="preserve"> group tracking data identified the lowest 20% of pupils (13). These pupils will receive 2x weekly one to one tutoring through the </w:t>
            </w:r>
            <w:proofErr w:type="spellStart"/>
            <w:r w:rsidRPr="008B13D7">
              <w:rPr>
                <w:rFonts w:cs="Arial"/>
                <w:color w:val="auto"/>
                <w:sz w:val="20"/>
              </w:rPr>
              <w:t>RWInc</w:t>
            </w:r>
            <w:proofErr w:type="spellEnd"/>
            <w:r w:rsidRPr="008B13D7">
              <w:rPr>
                <w:rFonts w:cs="Arial"/>
                <w:color w:val="auto"/>
                <w:sz w:val="20"/>
              </w:rPr>
              <w:t xml:space="preserve"> programme delivered by trained </w:t>
            </w:r>
            <w:proofErr w:type="spellStart"/>
            <w:r w:rsidRPr="008B13D7">
              <w:rPr>
                <w:rFonts w:cs="Arial"/>
                <w:color w:val="auto"/>
                <w:sz w:val="20"/>
              </w:rPr>
              <w:t>TAs.</w:t>
            </w:r>
            <w:proofErr w:type="spellEnd"/>
          </w:p>
          <w:p w14:paraId="4644A08C" w14:textId="77777777" w:rsidR="008B13D7" w:rsidRPr="008B13D7" w:rsidRDefault="008B13D7" w:rsidP="008B13D7">
            <w:pPr>
              <w:pStyle w:val="TableRowCentered"/>
              <w:spacing w:before="0" w:after="0"/>
              <w:ind w:left="0"/>
              <w:jc w:val="left"/>
              <w:rPr>
                <w:rFonts w:cs="Arial"/>
                <w:color w:val="auto"/>
                <w:sz w:val="20"/>
              </w:rPr>
            </w:pPr>
          </w:p>
          <w:p w14:paraId="51D003D5" w14:textId="77777777" w:rsidR="008B13D7" w:rsidRPr="008B13D7" w:rsidRDefault="008B13D7" w:rsidP="008B13D7">
            <w:pPr>
              <w:pStyle w:val="TableRowCentered"/>
              <w:spacing w:before="0" w:after="0"/>
              <w:ind w:left="0"/>
              <w:jc w:val="left"/>
              <w:rPr>
                <w:rFonts w:cs="Arial"/>
                <w:color w:val="auto"/>
                <w:sz w:val="20"/>
              </w:rPr>
            </w:pPr>
          </w:p>
          <w:p w14:paraId="342FEE94" w14:textId="77777777" w:rsidR="008B13D7" w:rsidRPr="008B13D7" w:rsidRDefault="008B13D7" w:rsidP="008B13D7">
            <w:pPr>
              <w:pStyle w:val="TableRowCentered"/>
              <w:spacing w:before="0" w:after="0"/>
              <w:ind w:left="0"/>
              <w:jc w:val="left"/>
              <w:rPr>
                <w:rFonts w:cs="Arial"/>
                <w:i/>
                <w:iCs/>
                <w:color w:val="0070C0"/>
                <w:sz w:val="20"/>
              </w:rPr>
            </w:pPr>
            <w:r w:rsidRPr="008B13D7">
              <w:rPr>
                <w:rFonts w:cs="Arial"/>
                <w:b/>
                <w:bCs/>
                <w:color w:val="002060"/>
                <w:sz w:val="20"/>
              </w:rPr>
              <w:t>EEF Teaching and Learning Toolkit – Small Group Tuition</w:t>
            </w:r>
          </w:p>
          <w:p w14:paraId="2DE06255" w14:textId="77777777" w:rsidR="008B13D7" w:rsidRPr="008B13D7" w:rsidRDefault="008B13D7" w:rsidP="008B13D7">
            <w:pPr>
              <w:pStyle w:val="TableRowCentered"/>
              <w:spacing w:before="0" w:after="0"/>
              <w:ind w:left="0"/>
              <w:jc w:val="left"/>
              <w:rPr>
                <w:rFonts w:cs="Arial"/>
                <w:sz w:val="20"/>
              </w:rPr>
            </w:pPr>
            <w:r w:rsidRPr="008B13D7">
              <w:rPr>
                <w:rFonts w:cs="Arial"/>
                <w:sz w:val="20"/>
              </w:rPr>
              <w:t>Small group tuition is defined as one teacher, trained teaching assistant or tutor working with two to five pupils together in a group. This arrangement enables the teaching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1429240F" w14:textId="77777777" w:rsidR="008B13D7" w:rsidRPr="008B13D7" w:rsidRDefault="008B13D7" w:rsidP="008B13D7">
            <w:pPr>
              <w:pStyle w:val="TableRowCentered"/>
              <w:spacing w:before="0" w:after="0"/>
              <w:ind w:left="0"/>
              <w:jc w:val="left"/>
              <w:rPr>
                <w:rFonts w:cs="Arial"/>
                <w:i/>
                <w:iCs/>
                <w:color w:val="auto"/>
                <w:sz w:val="20"/>
              </w:rPr>
            </w:pPr>
            <w:r w:rsidRPr="008B13D7">
              <w:rPr>
                <w:rFonts w:cs="Arial"/>
                <w:i/>
                <w:iCs/>
                <w:color w:val="auto"/>
                <w:sz w:val="20"/>
              </w:rPr>
              <w:t>The average impact of the small group tuition is four additional months’ progress, on average, over the course of a year.</w:t>
            </w:r>
          </w:p>
          <w:p w14:paraId="09590A60" w14:textId="77777777" w:rsidR="008B13D7" w:rsidRPr="008B13D7" w:rsidRDefault="008B13D7" w:rsidP="008B13D7">
            <w:pPr>
              <w:pStyle w:val="TableRowCentered"/>
              <w:spacing w:before="0" w:after="0"/>
              <w:ind w:left="0"/>
              <w:jc w:val="left"/>
              <w:rPr>
                <w:rFonts w:cs="Arial"/>
                <w:i/>
                <w:iCs/>
                <w:color w:val="0070C0"/>
                <w:sz w:val="20"/>
              </w:rPr>
            </w:pPr>
          </w:p>
          <w:p w14:paraId="37EFBDD2" w14:textId="77777777" w:rsidR="008B13D7" w:rsidRPr="008B13D7" w:rsidRDefault="008B13D7" w:rsidP="008B13D7">
            <w:pPr>
              <w:pStyle w:val="TableRowCentered"/>
              <w:spacing w:before="0" w:after="0"/>
              <w:ind w:left="0"/>
              <w:jc w:val="left"/>
              <w:rPr>
                <w:rFonts w:cs="Arial"/>
                <w:i/>
                <w:iCs/>
                <w:color w:val="0070C0"/>
                <w:sz w:val="20"/>
              </w:rPr>
            </w:pPr>
            <w:r w:rsidRPr="008B13D7">
              <w:rPr>
                <w:rFonts w:cs="Arial"/>
                <w:color w:val="auto"/>
                <w:sz w:val="20"/>
              </w:rPr>
              <w:t xml:space="preserve">Analysis of </w:t>
            </w:r>
            <w:proofErr w:type="spellStart"/>
            <w:r w:rsidRPr="008B13D7">
              <w:rPr>
                <w:rFonts w:cs="Arial"/>
                <w:color w:val="auto"/>
                <w:sz w:val="20"/>
              </w:rPr>
              <w:t>RWInc</w:t>
            </w:r>
            <w:proofErr w:type="spellEnd"/>
            <w:r w:rsidRPr="008B13D7">
              <w:rPr>
                <w:rFonts w:cs="Arial"/>
                <w:color w:val="auto"/>
                <w:sz w:val="20"/>
              </w:rPr>
              <w:t xml:space="preserve"> group tracking data has identified pupils that are not on track to be ARE in phonics and these pupils will receive 2x weekly phonic intervention delivered by TAs and /or class teachers.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FCEE" w14:textId="77777777" w:rsidR="008B13D7" w:rsidRPr="008B13D7" w:rsidRDefault="008B13D7" w:rsidP="008B13D7">
            <w:pPr>
              <w:pStyle w:val="TableRowCentered"/>
              <w:spacing w:before="0" w:after="0"/>
              <w:jc w:val="left"/>
              <w:rPr>
                <w:rFonts w:cs="Arial"/>
                <w:sz w:val="20"/>
              </w:rPr>
            </w:pPr>
            <w:r w:rsidRPr="008B13D7">
              <w:rPr>
                <w:rFonts w:cs="Arial"/>
                <w:b/>
                <w:bCs/>
                <w:sz w:val="20"/>
              </w:rPr>
              <w:lastRenderedPageBreak/>
              <w:t>4 and 5</w:t>
            </w:r>
          </w:p>
        </w:tc>
      </w:tr>
      <w:tr w:rsidR="008B13D7" w:rsidRPr="008B13D7" w14:paraId="2FAD264D"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30429" w14:textId="77777777" w:rsidR="008B13D7" w:rsidRPr="008B13D7" w:rsidRDefault="008B13D7" w:rsidP="008B13D7">
            <w:pPr>
              <w:pStyle w:val="TableRow"/>
              <w:spacing w:before="0" w:after="0"/>
              <w:ind w:left="0"/>
              <w:rPr>
                <w:rFonts w:cs="Arial"/>
                <w:i/>
                <w:sz w:val="20"/>
                <w:szCs w:val="20"/>
              </w:rPr>
            </w:pPr>
            <w:r w:rsidRPr="008B13D7">
              <w:rPr>
                <w:rFonts w:cs="Arial"/>
                <w:i/>
                <w:sz w:val="20"/>
                <w:szCs w:val="20"/>
              </w:rPr>
              <w:t>Targeted pupil support across school in the areas of Reading, Writing and Maths.</w:t>
            </w:r>
          </w:p>
          <w:p w14:paraId="4A53871D" w14:textId="77777777" w:rsidR="008B13D7" w:rsidRPr="008B13D7" w:rsidRDefault="008B13D7" w:rsidP="008B13D7">
            <w:pPr>
              <w:pStyle w:val="TableRow"/>
              <w:spacing w:before="0" w:after="0"/>
              <w:ind w:left="0"/>
              <w:rPr>
                <w:rFonts w:cs="Arial"/>
                <w:i/>
                <w:sz w:val="20"/>
                <w:szCs w:val="20"/>
              </w:rPr>
            </w:pPr>
            <w:r w:rsidRPr="008B13D7">
              <w:rPr>
                <w:rFonts w:cs="Arial"/>
                <w:i/>
                <w:sz w:val="20"/>
                <w:szCs w:val="20"/>
              </w:rPr>
              <w:t>(</w:t>
            </w:r>
            <w:proofErr w:type="gramStart"/>
            <w:r w:rsidRPr="008B13D7">
              <w:rPr>
                <w:rFonts w:cs="Arial"/>
                <w:i/>
                <w:sz w:val="20"/>
                <w:szCs w:val="20"/>
              </w:rPr>
              <w:t>interventions</w:t>
            </w:r>
            <w:proofErr w:type="gramEnd"/>
            <w:r w:rsidRPr="008B13D7">
              <w:rPr>
                <w:rFonts w:cs="Arial"/>
                <w:i/>
                <w:sz w:val="20"/>
                <w:szCs w:val="20"/>
              </w:rPr>
              <w:t xml:space="preserve"> held in afternoon sessions.  Support provided in lessons within group support)</w:t>
            </w:r>
          </w:p>
          <w:p w14:paraId="017344CC" w14:textId="77777777" w:rsidR="008B13D7" w:rsidRPr="008B13D7" w:rsidRDefault="008B13D7" w:rsidP="008B13D7">
            <w:pPr>
              <w:pStyle w:val="TableRow"/>
              <w:spacing w:before="0" w:after="0"/>
              <w:ind w:left="0"/>
              <w:rPr>
                <w:rFonts w:cs="Arial"/>
                <w:i/>
                <w:sz w:val="20"/>
                <w:szCs w:val="20"/>
              </w:rPr>
            </w:pPr>
            <w:r w:rsidRPr="008B13D7">
              <w:rPr>
                <w:rFonts w:cs="Arial"/>
                <w:i/>
                <w:sz w:val="20"/>
                <w:szCs w:val="20"/>
              </w:rPr>
              <w:t>£20,000</w:t>
            </w:r>
          </w:p>
          <w:p w14:paraId="3E22F0BE" w14:textId="77777777" w:rsidR="008B13D7" w:rsidRPr="008B13D7" w:rsidRDefault="008B13D7" w:rsidP="008B13D7">
            <w:pPr>
              <w:pStyle w:val="TableRow"/>
              <w:spacing w:before="0" w:after="0"/>
              <w:ind w:left="0"/>
              <w:rPr>
                <w:rFonts w:cs="Arial"/>
                <w:i/>
                <w:sz w:val="20"/>
                <w:szCs w:val="20"/>
              </w:rPr>
            </w:pPr>
          </w:p>
          <w:p w14:paraId="5D7A906D" w14:textId="77777777" w:rsidR="008B13D7" w:rsidRPr="008B13D7" w:rsidRDefault="008B13D7" w:rsidP="008B13D7">
            <w:pPr>
              <w:pStyle w:val="TableRow"/>
              <w:spacing w:before="0" w:after="0"/>
              <w:rPr>
                <w:rFonts w:cs="Arial"/>
                <w:i/>
                <w:sz w:val="20"/>
                <w:szCs w:val="20"/>
              </w:rPr>
            </w:pPr>
            <w:r w:rsidRPr="008B13D7">
              <w:rPr>
                <w:rFonts w:cs="Arial"/>
                <w:i/>
                <w:sz w:val="20"/>
                <w:szCs w:val="20"/>
              </w:rPr>
              <w:t>Cost for non- teaching deputy to deliver TA and staff CPD programme and monitor provision of DA learners.  (£as above)</w:t>
            </w:r>
          </w:p>
          <w:p w14:paraId="42037E03" w14:textId="77777777" w:rsidR="008B13D7" w:rsidRPr="008B13D7" w:rsidRDefault="008B13D7" w:rsidP="008B13D7">
            <w:pPr>
              <w:pStyle w:val="TableRow"/>
              <w:spacing w:before="0" w:after="0"/>
              <w:rPr>
                <w:rFonts w:cs="Arial"/>
                <w:i/>
                <w:sz w:val="20"/>
                <w:szCs w:val="20"/>
              </w:rPr>
            </w:pPr>
          </w:p>
          <w:p w14:paraId="1B061FD2" w14:textId="77777777" w:rsidR="008B13D7" w:rsidRPr="008B13D7" w:rsidRDefault="008B13D7" w:rsidP="008B13D7">
            <w:pPr>
              <w:pStyle w:val="TableRow"/>
              <w:spacing w:before="0" w:after="0"/>
              <w:rPr>
                <w:rFonts w:cs="Arial"/>
                <w:i/>
                <w:sz w:val="20"/>
                <w:szCs w:val="20"/>
              </w:rPr>
            </w:pPr>
          </w:p>
          <w:p w14:paraId="54FF6FE3" w14:textId="77777777" w:rsidR="008B13D7" w:rsidRPr="008B13D7" w:rsidRDefault="008B13D7" w:rsidP="008B13D7">
            <w:pPr>
              <w:pStyle w:val="TableRow"/>
              <w:spacing w:before="0" w:after="0"/>
              <w:rPr>
                <w:rFonts w:cs="Arial"/>
                <w:i/>
                <w:sz w:val="20"/>
                <w:szCs w:val="20"/>
              </w:rPr>
            </w:pPr>
          </w:p>
          <w:p w14:paraId="15856D21" w14:textId="77777777" w:rsidR="008B13D7" w:rsidRPr="008B13D7" w:rsidRDefault="008B13D7" w:rsidP="008B13D7">
            <w:pPr>
              <w:pStyle w:val="TableRow"/>
              <w:spacing w:before="0" w:after="0"/>
              <w:ind w:left="0"/>
              <w:rPr>
                <w:rFonts w:cs="Arial"/>
                <w:i/>
                <w:sz w:val="20"/>
                <w:szCs w:val="20"/>
              </w:rPr>
            </w:pPr>
          </w:p>
          <w:p w14:paraId="3AB83878" w14:textId="77777777" w:rsidR="008B13D7" w:rsidRPr="008B13D7" w:rsidRDefault="008B13D7" w:rsidP="008B13D7">
            <w:pPr>
              <w:pStyle w:val="Default"/>
              <w:rPr>
                <w:i/>
                <w:iCs/>
                <w:color w:val="0D0D0D"/>
                <w:sz w:val="20"/>
                <w:szCs w:val="20"/>
              </w:rPr>
            </w:pPr>
            <w:r w:rsidRPr="008B13D7">
              <w:rPr>
                <w:i/>
                <w:iCs/>
                <w:color w:val="0D0D0D"/>
                <w:sz w:val="20"/>
                <w:szCs w:val="20"/>
              </w:rPr>
              <w:t xml:space="preserve">Booster classes held in the Spring and Summer terms, specifically to target PP children.  </w:t>
            </w:r>
          </w:p>
          <w:p w14:paraId="485B3740" w14:textId="77777777" w:rsidR="008B13D7" w:rsidRPr="008B13D7" w:rsidRDefault="008B13D7" w:rsidP="008B13D7">
            <w:pPr>
              <w:pStyle w:val="Default"/>
              <w:rPr>
                <w:i/>
                <w:iCs/>
                <w:color w:val="0D0D0D"/>
                <w:sz w:val="20"/>
                <w:szCs w:val="20"/>
              </w:rPr>
            </w:pPr>
            <w:r w:rsidRPr="008B13D7">
              <w:rPr>
                <w:i/>
                <w:iCs/>
                <w:color w:val="0D0D0D"/>
                <w:sz w:val="20"/>
                <w:szCs w:val="20"/>
              </w:rPr>
              <w:t>(</w:t>
            </w:r>
            <w:proofErr w:type="gramStart"/>
            <w:r w:rsidRPr="008B13D7">
              <w:rPr>
                <w:i/>
                <w:iCs/>
                <w:color w:val="0D0D0D"/>
                <w:sz w:val="20"/>
                <w:szCs w:val="20"/>
              </w:rPr>
              <w:t>run</w:t>
            </w:r>
            <w:proofErr w:type="gramEnd"/>
            <w:r w:rsidRPr="008B13D7">
              <w:rPr>
                <w:i/>
                <w:iCs/>
                <w:color w:val="0D0D0D"/>
                <w:sz w:val="20"/>
                <w:szCs w:val="20"/>
              </w:rPr>
              <w:t xml:space="preserve"> by HLTA’s.  </w:t>
            </w:r>
          </w:p>
          <w:p w14:paraId="6E635C0D" w14:textId="77777777" w:rsidR="008B13D7" w:rsidRPr="008B13D7" w:rsidRDefault="008B13D7" w:rsidP="008B13D7">
            <w:pPr>
              <w:pStyle w:val="TableRow"/>
              <w:spacing w:before="0" w:after="0"/>
              <w:ind w:left="0"/>
              <w:rPr>
                <w:rFonts w:cs="Arial"/>
                <w:i/>
                <w:sz w:val="20"/>
                <w:szCs w:val="20"/>
              </w:rPr>
            </w:pPr>
            <w:r w:rsidRPr="008B13D7">
              <w:rPr>
                <w:rFonts w:cs="Arial"/>
                <w:i/>
                <w:iCs/>
                <w:sz w:val="20"/>
                <w:szCs w:val="20"/>
              </w:rPr>
              <w:t>£3,000)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5BB3" w14:textId="77777777" w:rsidR="008B13D7" w:rsidRPr="008B13D7" w:rsidRDefault="008B13D7" w:rsidP="008B13D7">
            <w:pPr>
              <w:pStyle w:val="TableRowCentered"/>
              <w:spacing w:before="0" w:after="0"/>
              <w:ind w:left="0"/>
              <w:jc w:val="left"/>
              <w:rPr>
                <w:rFonts w:cs="Arial"/>
                <w:i/>
                <w:iCs/>
                <w:color w:val="0070C0"/>
                <w:sz w:val="20"/>
              </w:rPr>
            </w:pPr>
            <w:r w:rsidRPr="008B13D7">
              <w:rPr>
                <w:rFonts w:cs="Arial"/>
                <w:b/>
                <w:bCs/>
                <w:color w:val="002060"/>
                <w:sz w:val="20"/>
              </w:rPr>
              <w:t>EEF Teaching and Learning Toolkit – Small Group Tuition</w:t>
            </w:r>
          </w:p>
          <w:p w14:paraId="51FDE154" w14:textId="77777777" w:rsidR="008B13D7" w:rsidRPr="008B13D7" w:rsidRDefault="008B13D7" w:rsidP="008B13D7">
            <w:pPr>
              <w:pStyle w:val="TableRowCentered"/>
              <w:spacing w:before="0" w:after="0"/>
              <w:ind w:left="0"/>
              <w:jc w:val="left"/>
              <w:rPr>
                <w:rFonts w:cs="Arial"/>
                <w:sz w:val="20"/>
              </w:rPr>
            </w:pPr>
            <w:r w:rsidRPr="008B13D7">
              <w:rPr>
                <w:rFonts w:cs="Arial"/>
                <w:sz w:val="20"/>
              </w:rPr>
              <w:t>Small group tuition is defined as one teacher, trained teaching assistant or tutor working with two to five pupils together in a group. This arrangement enables the teaching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13BA44BC" w14:textId="77777777" w:rsidR="008B13D7" w:rsidRPr="008B13D7" w:rsidRDefault="008B13D7" w:rsidP="008B13D7">
            <w:pPr>
              <w:pStyle w:val="TableRowCentered"/>
              <w:spacing w:before="0" w:after="0"/>
              <w:ind w:left="0"/>
              <w:jc w:val="left"/>
              <w:rPr>
                <w:rFonts w:cs="Arial"/>
                <w:i/>
                <w:iCs/>
                <w:color w:val="auto"/>
                <w:sz w:val="20"/>
              </w:rPr>
            </w:pPr>
            <w:r w:rsidRPr="008B13D7">
              <w:rPr>
                <w:rFonts w:cs="Arial"/>
                <w:i/>
                <w:iCs/>
                <w:color w:val="auto"/>
                <w:sz w:val="20"/>
              </w:rPr>
              <w:t>The average impact of the small group tuition is four additional months’ progress, on average, over the course of a year.</w:t>
            </w:r>
          </w:p>
          <w:p w14:paraId="6BEBA561" w14:textId="77777777" w:rsidR="008B13D7" w:rsidRPr="008B13D7" w:rsidRDefault="008B13D7" w:rsidP="008B13D7">
            <w:pPr>
              <w:pStyle w:val="TableRowCentered"/>
              <w:spacing w:before="0" w:after="0"/>
              <w:ind w:left="0"/>
              <w:jc w:val="left"/>
              <w:rPr>
                <w:rFonts w:cs="Arial"/>
                <w:i/>
                <w:iCs/>
                <w:color w:val="auto"/>
                <w:sz w:val="20"/>
              </w:rPr>
            </w:pPr>
          </w:p>
          <w:p w14:paraId="4A346636" w14:textId="77777777" w:rsidR="008B13D7" w:rsidRPr="008B13D7" w:rsidRDefault="008B13D7" w:rsidP="008B13D7">
            <w:pPr>
              <w:pStyle w:val="TableRowCentered"/>
              <w:spacing w:before="0" w:after="0"/>
              <w:ind w:left="0"/>
              <w:jc w:val="left"/>
              <w:rPr>
                <w:rFonts w:cs="Arial"/>
                <w:i/>
                <w:iCs/>
                <w:color w:val="auto"/>
                <w:sz w:val="20"/>
              </w:rPr>
            </w:pPr>
          </w:p>
          <w:p w14:paraId="5741F5B7" w14:textId="77777777" w:rsidR="008B13D7" w:rsidRPr="008B13D7" w:rsidRDefault="008B13D7" w:rsidP="008B13D7">
            <w:pPr>
              <w:pStyle w:val="TableRowCentered"/>
              <w:spacing w:before="0" w:after="0"/>
              <w:jc w:val="left"/>
              <w:rPr>
                <w:rFonts w:cs="Arial"/>
                <w:color w:val="auto"/>
                <w:sz w:val="20"/>
              </w:rPr>
            </w:pPr>
            <w:r w:rsidRPr="008B13D7">
              <w:rPr>
                <w:rFonts w:cs="Arial"/>
                <w:color w:val="auto"/>
                <w:sz w:val="20"/>
              </w:rPr>
              <w:t xml:space="preserve">Booster classes held after school in the Spring term to target specific areas in English and Maths, to raise attainment.  </w:t>
            </w:r>
          </w:p>
          <w:p w14:paraId="187C4DFE" w14:textId="77777777" w:rsidR="008B13D7" w:rsidRPr="008B13D7" w:rsidRDefault="008B13D7" w:rsidP="008B13D7">
            <w:pPr>
              <w:pStyle w:val="TableRowCentered"/>
              <w:spacing w:before="0" w:after="0"/>
              <w:ind w:left="0"/>
              <w:jc w:val="left"/>
              <w:rPr>
                <w:rFonts w:cs="Arial"/>
                <w:sz w:val="20"/>
              </w:rPr>
            </w:pPr>
          </w:p>
          <w:p w14:paraId="73C8BAF3" w14:textId="77777777" w:rsidR="008B13D7" w:rsidRPr="008B13D7" w:rsidRDefault="008B13D7" w:rsidP="008B13D7">
            <w:pPr>
              <w:pStyle w:val="TableRowCentered"/>
              <w:spacing w:before="0" w:after="0"/>
              <w:ind w:left="0"/>
              <w:jc w:val="left"/>
              <w:rPr>
                <w:rFonts w:cs="Arial"/>
                <w:sz w:val="20"/>
              </w:rPr>
            </w:pPr>
            <w:r w:rsidRPr="008B13D7">
              <w:rPr>
                <w:rFonts w:cs="Arial"/>
                <w:sz w:val="20"/>
              </w:rPr>
              <w:t xml:space="preserve">Summer Term 2024 data </w:t>
            </w:r>
            <w:proofErr w:type="gramStart"/>
            <w:r w:rsidRPr="008B13D7">
              <w:rPr>
                <w:rFonts w:cs="Arial"/>
                <w:sz w:val="20"/>
              </w:rPr>
              <w:t>has</w:t>
            </w:r>
            <w:proofErr w:type="gramEnd"/>
            <w:r w:rsidRPr="008B13D7">
              <w:rPr>
                <w:rFonts w:cs="Arial"/>
                <w:sz w:val="20"/>
              </w:rPr>
              <w:t xml:space="preserve"> been used to identify cohorts and groups of pupils where target intervention is required. </w:t>
            </w:r>
          </w:p>
          <w:p w14:paraId="76B8E686" w14:textId="77777777" w:rsidR="008B13D7" w:rsidRPr="008B13D7" w:rsidRDefault="008B13D7" w:rsidP="008B13D7">
            <w:pPr>
              <w:pStyle w:val="TableRowCentered"/>
              <w:spacing w:before="0" w:after="0"/>
              <w:ind w:left="0"/>
              <w:jc w:val="left"/>
              <w:rPr>
                <w:rFonts w:cs="Arial"/>
                <w:sz w:val="20"/>
              </w:rPr>
            </w:pPr>
            <w:r w:rsidRPr="008B13D7">
              <w:rPr>
                <w:rFonts w:cs="Arial"/>
                <w:sz w:val="20"/>
              </w:rPr>
              <w:t xml:space="preserve">Through Pupil progress meetings class teachers have worked with subject leaders, the assessment lead and PPG lead to identify specific areas of need and identify tailored intervention and support required to accelerate progress in Reading, Writing, Maths and Phonics.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9266" w14:textId="77777777" w:rsidR="008B13D7" w:rsidRPr="008B13D7" w:rsidRDefault="008B13D7" w:rsidP="008B13D7">
            <w:pPr>
              <w:pStyle w:val="TableRowCentered"/>
              <w:spacing w:before="0" w:after="0"/>
              <w:jc w:val="left"/>
              <w:rPr>
                <w:rFonts w:cs="Arial"/>
                <w:b/>
                <w:bCs/>
                <w:sz w:val="20"/>
              </w:rPr>
            </w:pPr>
            <w:r w:rsidRPr="008B13D7">
              <w:rPr>
                <w:rFonts w:cs="Arial"/>
                <w:b/>
                <w:bCs/>
                <w:sz w:val="20"/>
              </w:rPr>
              <w:t>3, 4, 5 and 6</w:t>
            </w:r>
          </w:p>
        </w:tc>
      </w:tr>
    </w:tbl>
    <w:p w14:paraId="02CF8C98" w14:textId="77777777" w:rsidR="008B13D7" w:rsidRDefault="008B13D7" w:rsidP="00BE188C"/>
    <w:p w14:paraId="0011C5F9" w14:textId="706C9988" w:rsidR="008B13D7" w:rsidRPr="008B13D7" w:rsidRDefault="008B13D7" w:rsidP="008B13D7">
      <w:pPr>
        <w:pStyle w:val="Heading3"/>
        <w:spacing w:before="0" w:after="0" w:line="240" w:lineRule="auto"/>
        <w:rPr>
          <w:b/>
          <w:bCs/>
          <w:sz w:val="24"/>
          <w:szCs w:val="24"/>
        </w:rPr>
      </w:pPr>
      <w:r w:rsidRPr="008B13D7">
        <w:rPr>
          <w:b/>
          <w:bCs/>
          <w:sz w:val="24"/>
          <w:szCs w:val="24"/>
        </w:rPr>
        <w:lastRenderedPageBreak/>
        <w:t xml:space="preserve">Wider </w:t>
      </w:r>
      <w:r>
        <w:rPr>
          <w:b/>
          <w:bCs/>
          <w:sz w:val="24"/>
          <w:szCs w:val="24"/>
        </w:rPr>
        <w:t>S</w:t>
      </w:r>
      <w:r w:rsidRPr="008B13D7">
        <w:rPr>
          <w:b/>
          <w:bCs/>
          <w:sz w:val="24"/>
          <w:szCs w:val="24"/>
        </w:rPr>
        <w:t xml:space="preserve">trategies </w:t>
      </w:r>
    </w:p>
    <w:p w14:paraId="7C39876C" w14:textId="5D898720" w:rsidR="008B13D7" w:rsidRPr="008B13D7" w:rsidRDefault="008B13D7" w:rsidP="008B13D7">
      <w:pPr>
        <w:pStyle w:val="Heading3"/>
        <w:spacing w:before="0" w:after="0" w:line="240" w:lineRule="auto"/>
        <w:rPr>
          <w:b/>
          <w:bCs/>
          <w:sz w:val="24"/>
          <w:szCs w:val="24"/>
        </w:rPr>
      </w:pPr>
      <w:r w:rsidRPr="008B13D7">
        <w:rPr>
          <w:b/>
          <w:bCs/>
          <w:sz w:val="24"/>
          <w:szCs w:val="24"/>
        </w:rPr>
        <w:t>(for example, related to attendance, behaviour, wellbeing)</w:t>
      </w:r>
    </w:p>
    <w:p w14:paraId="460D34BE" w14:textId="77777777" w:rsidR="008B13D7" w:rsidRPr="008B13D7" w:rsidRDefault="008B13D7" w:rsidP="008B13D7">
      <w:pPr>
        <w:spacing w:after="0" w:line="240" w:lineRule="auto"/>
        <w:rPr>
          <w:sz w:val="20"/>
          <w:szCs w:val="20"/>
        </w:rPr>
      </w:pPr>
      <w:r w:rsidRPr="008B13D7">
        <w:rPr>
          <w:sz w:val="20"/>
          <w:szCs w:val="20"/>
        </w:rPr>
        <w:t>Budgeted cost: Pastoral Manager: Cost for the school year: £25,000</w:t>
      </w:r>
    </w:p>
    <w:p w14:paraId="03AD3644" w14:textId="77777777" w:rsidR="008B13D7" w:rsidRPr="008B13D7" w:rsidRDefault="008B13D7" w:rsidP="008B13D7">
      <w:pPr>
        <w:spacing w:after="0" w:line="240" w:lineRule="auto"/>
        <w:rPr>
          <w:sz w:val="20"/>
          <w:szCs w:val="20"/>
        </w:rPr>
      </w:pPr>
      <w:r w:rsidRPr="008B13D7">
        <w:rPr>
          <w:sz w:val="20"/>
          <w:szCs w:val="20"/>
        </w:rPr>
        <w:t xml:space="preserve">Cost of additional pastoral support member of staff: £10,000      </w:t>
      </w:r>
    </w:p>
    <w:p w14:paraId="27078EFE" w14:textId="77777777" w:rsidR="008B13D7" w:rsidRPr="008B13D7" w:rsidRDefault="008B13D7" w:rsidP="008B13D7">
      <w:pPr>
        <w:spacing w:after="0" w:line="240" w:lineRule="auto"/>
        <w:rPr>
          <w:sz w:val="20"/>
          <w:szCs w:val="20"/>
        </w:rPr>
      </w:pPr>
      <w:r w:rsidRPr="008B13D7">
        <w:rPr>
          <w:sz w:val="20"/>
          <w:szCs w:val="20"/>
        </w:rPr>
        <w:t>Total: £55,618</w:t>
      </w:r>
    </w:p>
    <w:tbl>
      <w:tblPr>
        <w:tblW w:w="5000" w:type="pct"/>
        <w:tblCellMar>
          <w:left w:w="10" w:type="dxa"/>
          <w:right w:w="10" w:type="dxa"/>
        </w:tblCellMar>
        <w:tblLook w:val="04A0" w:firstRow="1" w:lastRow="0" w:firstColumn="1" w:lastColumn="0" w:noHBand="0" w:noVBand="1"/>
      </w:tblPr>
      <w:tblGrid>
        <w:gridCol w:w="2963"/>
        <w:gridCol w:w="4689"/>
        <w:gridCol w:w="2804"/>
      </w:tblGrid>
      <w:tr w:rsidR="008B13D7" w:rsidRPr="008B13D7" w14:paraId="1D05F45A" w14:textId="77777777" w:rsidTr="00334AA7">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8057A44" w14:textId="77777777" w:rsidR="008B13D7" w:rsidRPr="008B13D7" w:rsidRDefault="008B13D7" w:rsidP="008B13D7">
            <w:pPr>
              <w:pStyle w:val="TableHeader"/>
              <w:spacing w:before="0" w:after="0"/>
              <w:jc w:val="left"/>
              <w:rPr>
                <w:sz w:val="20"/>
                <w:szCs w:val="20"/>
              </w:rPr>
            </w:pPr>
            <w:r w:rsidRPr="008B13D7">
              <w:rPr>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530744C" w14:textId="77777777" w:rsidR="008B13D7" w:rsidRPr="008B13D7" w:rsidRDefault="008B13D7" w:rsidP="008B13D7">
            <w:pPr>
              <w:pStyle w:val="TableHeader"/>
              <w:spacing w:before="0" w:after="0"/>
              <w:jc w:val="left"/>
              <w:rPr>
                <w:sz w:val="20"/>
                <w:szCs w:val="20"/>
              </w:rPr>
            </w:pPr>
            <w:r w:rsidRPr="008B13D7">
              <w:rPr>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EEA492D" w14:textId="77777777" w:rsidR="008B13D7" w:rsidRPr="008B13D7" w:rsidRDefault="008B13D7" w:rsidP="008B13D7">
            <w:pPr>
              <w:pStyle w:val="TableHeader"/>
              <w:spacing w:before="0" w:after="0"/>
              <w:jc w:val="left"/>
              <w:rPr>
                <w:sz w:val="20"/>
                <w:szCs w:val="20"/>
              </w:rPr>
            </w:pPr>
            <w:r w:rsidRPr="008B13D7">
              <w:rPr>
                <w:sz w:val="20"/>
                <w:szCs w:val="20"/>
              </w:rPr>
              <w:t>Challenge number(s) addressed</w:t>
            </w:r>
          </w:p>
        </w:tc>
      </w:tr>
      <w:tr w:rsidR="008B13D7" w:rsidRPr="008B13D7" w14:paraId="669E31E0"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F298" w14:textId="77777777" w:rsidR="008B13D7" w:rsidRPr="008B13D7" w:rsidRDefault="008B13D7" w:rsidP="008B13D7">
            <w:pPr>
              <w:pStyle w:val="Default"/>
              <w:rPr>
                <w:i/>
                <w:iCs/>
                <w:color w:val="0D0D0D"/>
                <w:sz w:val="20"/>
                <w:szCs w:val="20"/>
              </w:rPr>
            </w:pPr>
            <w:r w:rsidRPr="008B13D7">
              <w:rPr>
                <w:i/>
                <w:iCs/>
                <w:color w:val="0D0D0D"/>
                <w:sz w:val="20"/>
                <w:szCs w:val="20"/>
              </w:rPr>
              <w:t xml:space="preserve">Pastoral support for those children who have barriers to learning due their emotional well-being </w:t>
            </w:r>
          </w:p>
          <w:p w14:paraId="16167927" w14:textId="77777777" w:rsidR="008B13D7" w:rsidRPr="008B13D7" w:rsidRDefault="008B13D7" w:rsidP="008B13D7">
            <w:pPr>
              <w:pStyle w:val="Default"/>
              <w:rPr>
                <w:color w:val="0D0D0D"/>
                <w:sz w:val="20"/>
                <w:szCs w:val="20"/>
              </w:rPr>
            </w:pPr>
          </w:p>
          <w:p w14:paraId="77328F07" w14:textId="77777777" w:rsidR="008B13D7" w:rsidRPr="008B13D7" w:rsidRDefault="008B13D7" w:rsidP="008B13D7">
            <w:pPr>
              <w:pStyle w:val="Default"/>
              <w:rPr>
                <w:color w:val="0D0D0D"/>
                <w:sz w:val="20"/>
                <w:szCs w:val="20"/>
              </w:rPr>
            </w:pPr>
            <w:r w:rsidRPr="008B13D7">
              <w:rPr>
                <w:i/>
                <w:iCs/>
                <w:color w:val="0D0D0D"/>
                <w:sz w:val="20"/>
                <w:szCs w:val="20"/>
              </w:rPr>
              <w:t xml:space="preserve">Cost of pastoral Manager </w:t>
            </w:r>
          </w:p>
          <w:p w14:paraId="69A5F2C8" w14:textId="77777777" w:rsidR="008B13D7" w:rsidRPr="008B13D7" w:rsidRDefault="008B13D7" w:rsidP="008B13D7">
            <w:pPr>
              <w:pStyle w:val="TableRow"/>
              <w:spacing w:before="0" w:after="0"/>
              <w:rPr>
                <w:sz w:val="20"/>
                <w:szCs w:val="20"/>
              </w:rPr>
            </w:pPr>
          </w:p>
          <w:p w14:paraId="1E5FCA96" w14:textId="77777777" w:rsidR="008B13D7" w:rsidRPr="008B13D7" w:rsidRDefault="008B13D7" w:rsidP="008B13D7">
            <w:pPr>
              <w:pStyle w:val="TableRow"/>
              <w:spacing w:before="0" w:after="0"/>
              <w:rPr>
                <w:sz w:val="20"/>
                <w:szCs w:val="20"/>
              </w:rPr>
            </w:pPr>
            <w:r w:rsidRPr="008B13D7">
              <w:rPr>
                <w:sz w:val="20"/>
                <w:szCs w:val="20"/>
              </w:rPr>
              <w:t>Cost of Jigsaw subscription: £1175</w:t>
            </w:r>
          </w:p>
          <w:p w14:paraId="5BEB8D7E" w14:textId="77777777" w:rsidR="008B13D7" w:rsidRPr="008B13D7" w:rsidRDefault="008B13D7" w:rsidP="008B13D7">
            <w:pPr>
              <w:pStyle w:val="TableRow"/>
              <w:spacing w:before="0" w:after="0"/>
              <w:rPr>
                <w:sz w:val="20"/>
                <w:szCs w:val="20"/>
              </w:rPr>
            </w:pPr>
          </w:p>
          <w:p w14:paraId="76A01308" w14:textId="77777777" w:rsidR="008B13D7" w:rsidRPr="008B13D7" w:rsidRDefault="008B13D7" w:rsidP="008B13D7">
            <w:pPr>
              <w:pStyle w:val="TableRow"/>
              <w:spacing w:before="0" w:after="0"/>
              <w:rPr>
                <w:sz w:val="20"/>
                <w:szCs w:val="20"/>
              </w:rPr>
            </w:pPr>
            <w:r w:rsidRPr="008B13D7">
              <w:rPr>
                <w:sz w:val="20"/>
                <w:szCs w:val="20"/>
              </w:rPr>
              <w:t xml:space="preserve">Future in Mind training attended by Mental health lead/Pastoral support: </w:t>
            </w:r>
          </w:p>
          <w:p w14:paraId="76070833" w14:textId="77777777" w:rsidR="008B13D7" w:rsidRPr="008B13D7" w:rsidRDefault="008B13D7" w:rsidP="008B13D7">
            <w:pPr>
              <w:pStyle w:val="TableRow"/>
              <w:spacing w:before="0" w:after="0"/>
              <w:rPr>
                <w:i/>
                <w:iCs/>
                <w:sz w:val="20"/>
                <w:szCs w:val="20"/>
              </w:rPr>
            </w:pPr>
            <w:r w:rsidRPr="008B13D7">
              <w:rPr>
                <w:i/>
                <w:iCs/>
                <w:sz w:val="20"/>
                <w:szCs w:val="20"/>
              </w:rPr>
              <w:t>X3 sessions a year £403</w:t>
            </w:r>
          </w:p>
          <w:p w14:paraId="06D274C2" w14:textId="77777777" w:rsidR="008B13D7" w:rsidRPr="008B13D7" w:rsidRDefault="008B13D7" w:rsidP="008B13D7">
            <w:pPr>
              <w:pStyle w:val="TableRow"/>
              <w:spacing w:before="0" w:after="0"/>
              <w:rPr>
                <w:i/>
                <w:iCs/>
                <w:sz w:val="20"/>
                <w:szCs w:val="20"/>
              </w:rPr>
            </w:pPr>
            <w:r w:rsidRPr="008B13D7">
              <w:rPr>
                <w:i/>
                <w:iCs/>
                <w:sz w:val="20"/>
                <w:szCs w:val="20"/>
              </w:rPr>
              <w:t>(3 full days: £540)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DD10" w14:textId="77777777" w:rsidR="008B13D7" w:rsidRPr="008B13D7" w:rsidRDefault="008B13D7" w:rsidP="008B13D7">
            <w:pPr>
              <w:pStyle w:val="TableRowCentered"/>
              <w:spacing w:before="0" w:after="0"/>
              <w:jc w:val="left"/>
              <w:rPr>
                <w:b/>
                <w:bCs/>
                <w:color w:val="002060"/>
                <w:sz w:val="20"/>
              </w:rPr>
            </w:pPr>
            <w:r w:rsidRPr="008B13D7">
              <w:rPr>
                <w:b/>
                <w:bCs/>
                <w:color w:val="002060"/>
                <w:sz w:val="20"/>
              </w:rPr>
              <w:t>EEF Teaching and Learning Toolkit – Social and Emotional Learning</w:t>
            </w:r>
          </w:p>
          <w:p w14:paraId="718E9D8E" w14:textId="77777777" w:rsidR="008B13D7" w:rsidRPr="008B13D7" w:rsidRDefault="008B13D7" w:rsidP="008B13D7">
            <w:pPr>
              <w:pStyle w:val="TableRowCentered"/>
              <w:spacing w:before="0" w:after="0"/>
              <w:jc w:val="left"/>
              <w:rPr>
                <w:sz w:val="20"/>
              </w:rPr>
            </w:pPr>
            <w:r w:rsidRPr="008B13D7">
              <w:rPr>
                <w:sz w:val="20"/>
              </w:rPr>
              <w:t>Social and emotional learning (SEL) interventions seek to improve pupils’ decision-making skills, interaction with others and their self-management of emotions, rather than focusing directly on the academic or cognitive elements of learning.</w:t>
            </w:r>
          </w:p>
          <w:p w14:paraId="073F3C43" w14:textId="77777777" w:rsidR="008B13D7" w:rsidRPr="008B13D7" w:rsidRDefault="008B13D7" w:rsidP="008B13D7">
            <w:pPr>
              <w:pStyle w:val="TableRowCentered"/>
              <w:spacing w:before="0" w:after="0"/>
              <w:jc w:val="left"/>
              <w:rPr>
                <w:i/>
                <w:iCs/>
                <w:color w:val="auto"/>
                <w:sz w:val="20"/>
              </w:rPr>
            </w:pPr>
            <w:r w:rsidRPr="008B13D7">
              <w:rPr>
                <w:i/>
                <w:iCs/>
                <w:color w:val="auto"/>
                <w:sz w:val="20"/>
              </w:rPr>
              <w:t>The average impact of successful SEL interventions is an additional four months’ progress over the course of a year. Alongside academic outcomes, SEL interventions have an identifiable and valuable impact on attitudes to learning and social relationships in school.</w:t>
            </w:r>
          </w:p>
          <w:p w14:paraId="1FF78A91" w14:textId="77777777" w:rsidR="008B13D7" w:rsidRPr="008B13D7" w:rsidRDefault="008B13D7" w:rsidP="008B13D7">
            <w:pPr>
              <w:pStyle w:val="TableRowCentered"/>
              <w:spacing w:before="0" w:after="0"/>
              <w:jc w:val="left"/>
              <w:rPr>
                <w:color w:val="0070C0"/>
                <w:sz w:val="20"/>
              </w:rPr>
            </w:pPr>
            <w:r w:rsidRPr="008B13D7">
              <w:rPr>
                <w:color w:val="auto"/>
                <w:sz w:val="20"/>
              </w:rPr>
              <w:t xml:space="preserve">Use of Jigsaw to teach strategies for well-being and emotional health.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A74D" w14:textId="77777777" w:rsidR="008B13D7" w:rsidRPr="008B13D7" w:rsidRDefault="008B13D7" w:rsidP="008B13D7">
            <w:pPr>
              <w:pStyle w:val="TableRowCentered"/>
              <w:spacing w:before="0" w:after="0"/>
              <w:jc w:val="left"/>
              <w:rPr>
                <w:sz w:val="20"/>
              </w:rPr>
            </w:pPr>
          </w:p>
        </w:tc>
      </w:tr>
      <w:tr w:rsidR="008B13D7" w:rsidRPr="008B13D7" w14:paraId="46EB9BA3"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56C9" w14:textId="77777777" w:rsidR="008B13D7" w:rsidRPr="008B13D7" w:rsidRDefault="008B13D7" w:rsidP="008B13D7">
            <w:pPr>
              <w:pStyle w:val="Default"/>
              <w:rPr>
                <w:i/>
                <w:iCs/>
                <w:color w:val="0D0D0D"/>
                <w:sz w:val="20"/>
                <w:szCs w:val="20"/>
              </w:rPr>
            </w:pPr>
            <w:r w:rsidRPr="008B13D7">
              <w:rPr>
                <w:i/>
                <w:iCs/>
                <w:color w:val="0D0D0D"/>
                <w:sz w:val="20"/>
                <w:szCs w:val="20"/>
              </w:rPr>
              <w:t>Pastoral support for those children who have barriers to     learning due their      behavioural</w:t>
            </w:r>
          </w:p>
          <w:p w14:paraId="4ECA32E3" w14:textId="77777777" w:rsidR="008B13D7" w:rsidRPr="008B13D7" w:rsidRDefault="008B13D7" w:rsidP="008B13D7">
            <w:pPr>
              <w:pStyle w:val="TableRow"/>
              <w:spacing w:before="0" w:after="0"/>
              <w:ind w:left="0"/>
              <w:rPr>
                <w:i/>
                <w:sz w:val="20"/>
                <w:szCs w:val="20"/>
              </w:rPr>
            </w:pPr>
          </w:p>
          <w:p w14:paraId="3E0F0E73" w14:textId="77777777" w:rsidR="008B13D7" w:rsidRPr="008B13D7" w:rsidRDefault="008B13D7" w:rsidP="008B13D7">
            <w:pPr>
              <w:pStyle w:val="TableRow"/>
              <w:spacing w:before="0" w:after="0"/>
              <w:ind w:left="0"/>
              <w:rPr>
                <w:i/>
                <w:sz w:val="20"/>
                <w:szCs w:val="20"/>
              </w:rPr>
            </w:pPr>
            <w:r w:rsidRPr="008B13D7">
              <w:rPr>
                <w:i/>
                <w:sz w:val="20"/>
                <w:szCs w:val="20"/>
              </w:rPr>
              <w:t xml:space="preserve">Cost of pastoral support </w:t>
            </w:r>
          </w:p>
          <w:p w14:paraId="62AA1F67" w14:textId="77777777" w:rsidR="008B13D7" w:rsidRPr="008B13D7" w:rsidRDefault="008B13D7" w:rsidP="008B13D7">
            <w:pPr>
              <w:pStyle w:val="TableRow"/>
              <w:spacing w:before="0" w:after="0"/>
              <w:ind w:left="0"/>
              <w:rPr>
                <w:i/>
                <w:sz w:val="20"/>
                <w:szCs w:val="20"/>
              </w:rPr>
            </w:pPr>
          </w:p>
          <w:p w14:paraId="33839327" w14:textId="77777777" w:rsidR="008B13D7" w:rsidRPr="008B13D7" w:rsidRDefault="008B13D7" w:rsidP="008B13D7">
            <w:pPr>
              <w:pStyle w:val="TableRow"/>
              <w:spacing w:before="0" w:after="0"/>
              <w:ind w:left="0"/>
              <w:rPr>
                <w:i/>
                <w:sz w:val="20"/>
                <w:szCs w:val="20"/>
              </w:rPr>
            </w:pPr>
            <w:r w:rsidRPr="008B13D7">
              <w:rPr>
                <w:i/>
                <w:sz w:val="20"/>
                <w:szCs w:val="20"/>
              </w:rPr>
              <w:t>SENDCo involvement including meeting with outside agencies and meetings £2,000</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05C0" w14:textId="77777777" w:rsidR="008B13D7" w:rsidRPr="008B13D7" w:rsidRDefault="008B13D7" w:rsidP="008B13D7">
            <w:pPr>
              <w:pStyle w:val="TableRowCentered"/>
              <w:spacing w:before="0" w:after="0"/>
              <w:jc w:val="left"/>
              <w:rPr>
                <w:b/>
                <w:bCs/>
                <w:color w:val="002060"/>
                <w:sz w:val="20"/>
              </w:rPr>
            </w:pPr>
            <w:r w:rsidRPr="008B13D7">
              <w:rPr>
                <w:b/>
                <w:bCs/>
                <w:color w:val="002060"/>
                <w:sz w:val="20"/>
              </w:rPr>
              <w:t>EEF Teaching and Learning Toolkit – Behaviour Interventions</w:t>
            </w:r>
          </w:p>
          <w:p w14:paraId="773674A2" w14:textId="77777777" w:rsidR="008B13D7" w:rsidRPr="008B13D7" w:rsidRDefault="008B13D7" w:rsidP="008B13D7">
            <w:pPr>
              <w:pStyle w:val="TableRowCentered"/>
              <w:spacing w:before="0" w:after="0"/>
              <w:jc w:val="left"/>
              <w:rPr>
                <w:sz w:val="20"/>
              </w:rPr>
            </w:pPr>
            <w:r w:rsidRPr="008B13D7">
              <w:rPr>
                <w:sz w:val="20"/>
              </w:rPr>
              <w:t>Behaviour interventions seek to improve attainment by reducing challenging behaviour in school. This entry covers interventions aimed at reducing a variety of behaviours, from low-level disruption to aggression, violence, bullying, substance abuse and general anti-social activities.</w:t>
            </w:r>
          </w:p>
          <w:p w14:paraId="7F255B8A" w14:textId="77777777" w:rsidR="008B13D7" w:rsidRPr="008B13D7" w:rsidRDefault="008B13D7" w:rsidP="008B13D7">
            <w:pPr>
              <w:pStyle w:val="TableRowCentered"/>
              <w:spacing w:before="0" w:after="0"/>
              <w:jc w:val="left"/>
              <w:rPr>
                <w:i/>
                <w:iCs/>
                <w:color w:val="auto"/>
                <w:sz w:val="20"/>
              </w:rPr>
            </w:pPr>
            <w:r w:rsidRPr="008B13D7">
              <w:rPr>
                <w:i/>
                <w:iCs/>
                <w:color w:val="auto"/>
                <w:sz w:val="20"/>
              </w:rPr>
              <w:t>The average impact of behaviour interventions is four additional months’ progress over the course of a year. Evidence suggests that, on average, behaviour interventions can produce moderate improvements in academic performance along with a decrease in problematic behaviours.</w:t>
            </w:r>
          </w:p>
          <w:p w14:paraId="5735C487" w14:textId="77777777" w:rsidR="008B13D7" w:rsidRPr="008B13D7" w:rsidRDefault="008B13D7" w:rsidP="008B13D7">
            <w:pPr>
              <w:pStyle w:val="TableRowCentered"/>
              <w:spacing w:before="0" w:after="0"/>
              <w:jc w:val="left"/>
              <w:rPr>
                <w:i/>
                <w:iCs/>
                <w:color w:val="0070C0"/>
                <w:sz w:val="20"/>
              </w:rPr>
            </w:pPr>
          </w:p>
          <w:p w14:paraId="44C15193" w14:textId="77777777" w:rsidR="008B13D7" w:rsidRPr="008B13D7" w:rsidRDefault="008B13D7" w:rsidP="008B13D7">
            <w:pPr>
              <w:pStyle w:val="TableRowCentered"/>
              <w:spacing w:before="0" w:after="0"/>
              <w:jc w:val="left"/>
              <w:rPr>
                <w:color w:val="auto"/>
                <w:sz w:val="20"/>
              </w:rPr>
            </w:pPr>
            <w:r w:rsidRPr="008B13D7">
              <w:rPr>
                <w:color w:val="auto"/>
                <w:sz w:val="20"/>
              </w:rPr>
              <w:t xml:space="preserve">Analysis of individual need across the school, conducted by class teachers and the pastoral manager has been used to identify one to one and small group support required for specific pupils.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348C5" w14:textId="77777777" w:rsidR="008B13D7" w:rsidRPr="008B13D7" w:rsidRDefault="008B13D7" w:rsidP="008B13D7">
            <w:pPr>
              <w:pStyle w:val="TableRowCentered"/>
              <w:spacing w:before="0" w:after="0"/>
              <w:jc w:val="left"/>
              <w:rPr>
                <w:sz w:val="20"/>
              </w:rPr>
            </w:pPr>
          </w:p>
        </w:tc>
      </w:tr>
      <w:tr w:rsidR="008B13D7" w:rsidRPr="008B13D7" w14:paraId="2DBC8B37" w14:textId="77777777" w:rsidTr="00334AA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8F89" w14:textId="77777777" w:rsidR="008B13D7" w:rsidRPr="008B13D7" w:rsidRDefault="008B13D7" w:rsidP="008B13D7">
            <w:pPr>
              <w:pStyle w:val="Default"/>
              <w:rPr>
                <w:i/>
                <w:iCs/>
                <w:color w:val="0D0D0D"/>
                <w:sz w:val="20"/>
                <w:szCs w:val="20"/>
              </w:rPr>
            </w:pPr>
            <w:r w:rsidRPr="008B13D7">
              <w:rPr>
                <w:i/>
                <w:iCs/>
                <w:color w:val="0D0D0D"/>
                <w:sz w:val="20"/>
                <w:szCs w:val="20"/>
              </w:rPr>
              <w:t xml:space="preserve">Cultural capital experiences promoted in the curriculum </w:t>
            </w:r>
          </w:p>
          <w:p w14:paraId="44955402" w14:textId="77777777" w:rsidR="008B13D7" w:rsidRPr="008B13D7" w:rsidRDefault="008B13D7" w:rsidP="008B13D7">
            <w:pPr>
              <w:pStyle w:val="Default"/>
              <w:rPr>
                <w:i/>
                <w:iCs/>
                <w:color w:val="0D0D0D"/>
                <w:sz w:val="20"/>
                <w:szCs w:val="20"/>
              </w:rPr>
            </w:pPr>
          </w:p>
          <w:p w14:paraId="2FC4B761" w14:textId="77777777" w:rsidR="008B13D7" w:rsidRPr="008B13D7" w:rsidRDefault="008B13D7" w:rsidP="008B13D7">
            <w:pPr>
              <w:pStyle w:val="Default"/>
              <w:rPr>
                <w:color w:val="0D0D0D"/>
                <w:sz w:val="20"/>
                <w:szCs w:val="20"/>
              </w:rPr>
            </w:pPr>
            <w:r w:rsidRPr="008B13D7">
              <w:rPr>
                <w:color w:val="0D0D0D"/>
                <w:sz w:val="20"/>
                <w:szCs w:val="20"/>
              </w:rPr>
              <w:t>Music lessons: £7,500</w:t>
            </w:r>
          </w:p>
          <w:p w14:paraId="28BBD83C" w14:textId="77777777" w:rsidR="008B13D7" w:rsidRPr="008B13D7" w:rsidRDefault="008B13D7" w:rsidP="008B13D7">
            <w:pPr>
              <w:pStyle w:val="Default"/>
              <w:rPr>
                <w:color w:val="0D0D0D"/>
                <w:sz w:val="20"/>
                <w:szCs w:val="20"/>
              </w:rPr>
            </w:pPr>
          </w:p>
          <w:p w14:paraId="49634106" w14:textId="77777777" w:rsidR="008B13D7" w:rsidRPr="008B13D7" w:rsidRDefault="008B13D7" w:rsidP="008B13D7">
            <w:pPr>
              <w:pStyle w:val="Default"/>
              <w:rPr>
                <w:color w:val="0D0D0D"/>
                <w:sz w:val="20"/>
                <w:szCs w:val="20"/>
              </w:rPr>
            </w:pPr>
            <w:r w:rsidRPr="008B13D7">
              <w:rPr>
                <w:color w:val="0D0D0D"/>
                <w:sz w:val="20"/>
                <w:szCs w:val="20"/>
              </w:rPr>
              <w:t xml:space="preserve">Subsidised after school clubs for PP </w:t>
            </w:r>
          </w:p>
          <w:p w14:paraId="7FC26B1A" w14:textId="77777777" w:rsidR="008B13D7" w:rsidRPr="008B13D7" w:rsidRDefault="008B13D7" w:rsidP="008B13D7">
            <w:pPr>
              <w:pStyle w:val="Default"/>
              <w:rPr>
                <w:color w:val="0D0D0D"/>
                <w:sz w:val="20"/>
                <w:szCs w:val="20"/>
              </w:rPr>
            </w:pPr>
            <w:r w:rsidRPr="008B13D7">
              <w:rPr>
                <w:color w:val="0D0D0D"/>
                <w:sz w:val="20"/>
                <w:szCs w:val="20"/>
              </w:rPr>
              <w:t>£4,000</w:t>
            </w:r>
          </w:p>
          <w:p w14:paraId="6093C22C" w14:textId="77777777" w:rsidR="008B13D7" w:rsidRPr="008B13D7" w:rsidRDefault="008B13D7" w:rsidP="008B13D7">
            <w:pPr>
              <w:pStyle w:val="Default"/>
              <w:rPr>
                <w:color w:val="0D0D0D"/>
                <w:sz w:val="20"/>
                <w:szCs w:val="20"/>
              </w:rPr>
            </w:pPr>
          </w:p>
          <w:p w14:paraId="1F8D0A65" w14:textId="77777777" w:rsidR="008B13D7" w:rsidRPr="008B13D7" w:rsidRDefault="008B13D7" w:rsidP="008B13D7">
            <w:pPr>
              <w:pStyle w:val="Default"/>
              <w:rPr>
                <w:color w:val="0D0D0D"/>
                <w:sz w:val="20"/>
                <w:szCs w:val="20"/>
              </w:rPr>
            </w:pPr>
            <w:r w:rsidRPr="008B13D7">
              <w:rPr>
                <w:color w:val="0D0D0D"/>
                <w:sz w:val="20"/>
                <w:szCs w:val="20"/>
              </w:rPr>
              <w:t xml:space="preserve">Subsidised residential trip costs for PP </w:t>
            </w:r>
          </w:p>
          <w:p w14:paraId="00D49A90" w14:textId="77777777" w:rsidR="008B13D7" w:rsidRPr="008B13D7" w:rsidRDefault="008B13D7" w:rsidP="008B13D7">
            <w:pPr>
              <w:pStyle w:val="Default"/>
              <w:rPr>
                <w:color w:val="0D0D0D"/>
                <w:sz w:val="20"/>
                <w:szCs w:val="20"/>
              </w:rPr>
            </w:pPr>
            <w:r w:rsidRPr="008B13D7">
              <w:rPr>
                <w:color w:val="0D0D0D"/>
                <w:sz w:val="20"/>
                <w:szCs w:val="20"/>
              </w:rPr>
              <w:t>£3,000</w:t>
            </w:r>
          </w:p>
          <w:p w14:paraId="773A3FEE" w14:textId="77777777" w:rsidR="008B13D7" w:rsidRPr="008B13D7" w:rsidRDefault="008B13D7" w:rsidP="008B13D7">
            <w:pPr>
              <w:pStyle w:val="Default"/>
              <w:rPr>
                <w:color w:val="0D0D0D"/>
                <w:sz w:val="20"/>
                <w:szCs w:val="20"/>
              </w:rPr>
            </w:pPr>
          </w:p>
          <w:p w14:paraId="10B38174" w14:textId="77777777" w:rsidR="008B13D7" w:rsidRPr="008B13D7" w:rsidRDefault="008B13D7" w:rsidP="008B13D7">
            <w:pPr>
              <w:pStyle w:val="Default"/>
              <w:rPr>
                <w:color w:val="0D0D0D"/>
                <w:sz w:val="20"/>
                <w:szCs w:val="20"/>
              </w:rPr>
            </w:pPr>
            <w:r w:rsidRPr="008B13D7">
              <w:rPr>
                <w:color w:val="0D0D0D"/>
                <w:sz w:val="20"/>
                <w:szCs w:val="20"/>
              </w:rPr>
              <w:t xml:space="preserve">Sports events promoted to PP are encouraged to attend </w:t>
            </w:r>
          </w:p>
          <w:p w14:paraId="517A050C" w14:textId="77777777" w:rsidR="008B13D7" w:rsidRPr="008B13D7" w:rsidRDefault="008B13D7" w:rsidP="008B13D7">
            <w:pPr>
              <w:pStyle w:val="Default"/>
              <w:rPr>
                <w:i/>
                <w:iCs/>
                <w:color w:val="0D0D0D"/>
                <w:sz w:val="20"/>
                <w:szCs w:val="20"/>
              </w:rPr>
            </w:pPr>
            <w:r w:rsidRPr="008B13D7">
              <w:rPr>
                <w:i/>
                <w:iCs/>
                <w:color w:val="0D0D0D"/>
                <w:sz w:val="20"/>
                <w:szCs w:val="20"/>
              </w:rPr>
              <w:t>(Events held throughout the year as part of the sports trust with local schools.  Children encouraged to attend to provide opportunities)</w:t>
            </w:r>
          </w:p>
          <w:p w14:paraId="51208941" w14:textId="77777777" w:rsidR="008B13D7" w:rsidRPr="008B13D7" w:rsidRDefault="008B13D7" w:rsidP="008B13D7">
            <w:pPr>
              <w:pStyle w:val="Default"/>
              <w:rPr>
                <w:i/>
                <w:iCs/>
                <w:color w:val="0D0D0D"/>
                <w:sz w:val="20"/>
                <w:szCs w:val="20"/>
              </w:rPr>
            </w:pPr>
            <w:r w:rsidRPr="008B13D7">
              <w:rPr>
                <w:i/>
                <w:iCs/>
                <w:color w:val="0D0D0D"/>
                <w:sz w:val="20"/>
                <w:szCs w:val="20"/>
              </w:rPr>
              <w:t xml:space="preserve">£2,000 e.g. </w:t>
            </w:r>
            <w:proofErr w:type="spellStart"/>
            <w:r w:rsidRPr="008B13D7">
              <w:rPr>
                <w:i/>
                <w:iCs/>
                <w:color w:val="0D0D0D"/>
                <w:sz w:val="20"/>
                <w:szCs w:val="20"/>
              </w:rPr>
              <w:t>sportsability</w:t>
            </w:r>
            <w:proofErr w:type="spellEnd"/>
            <w:r w:rsidRPr="008B13D7">
              <w:rPr>
                <w:i/>
                <w:iCs/>
                <w:color w:val="0D0D0D"/>
                <w:sz w:val="20"/>
                <w:szCs w:val="20"/>
              </w:rPr>
              <w:t xml:space="preserve">, </w:t>
            </w:r>
          </w:p>
          <w:p w14:paraId="06CFE877" w14:textId="114AE8E6" w:rsidR="008B13D7" w:rsidRPr="008B13D7" w:rsidRDefault="008B13D7" w:rsidP="008B13D7">
            <w:pPr>
              <w:pStyle w:val="Default"/>
              <w:rPr>
                <w:i/>
                <w:iCs/>
                <w:color w:val="0D0D0D"/>
                <w:sz w:val="20"/>
                <w:szCs w:val="20"/>
              </w:rPr>
            </w:pPr>
            <w:proofErr w:type="spellStart"/>
            <w:r w:rsidRPr="008B13D7">
              <w:rPr>
                <w:i/>
                <w:iCs/>
                <w:color w:val="0D0D0D"/>
                <w:sz w:val="20"/>
                <w:szCs w:val="20"/>
              </w:rPr>
              <w:t>Arthog</w:t>
            </w:r>
            <w:proofErr w:type="spellEnd"/>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E443" w14:textId="77777777" w:rsidR="008B13D7" w:rsidRPr="008B13D7" w:rsidRDefault="008B13D7" w:rsidP="008B13D7">
            <w:pPr>
              <w:pStyle w:val="TableRowCentered"/>
              <w:spacing w:before="0" w:after="0"/>
              <w:jc w:val="left"/>
              <w:rPr>
                <w:color w:val="auto"/>
                <w:sz w:val="20"/>
              </w:rPr>
            </w:pPr>
            <w:r w:rsidRPr="008B13D7">
              <w:rPr>
                <w:color w:val="auto"/>
                <w:sz w:val="20"/>
              </w:rPr>
              <w:t>EEF – sports participation increases educational engagement and attainment. EEF Life skills and enrichment Report - outdoor adventure learning shows positive benefits on academic learning and self -confidence. There is moderate evidence that outdoor adventure learning can have a positive impact on attainment.</w:t>
            </w:r>
          </w:p>
          <w:p w14:paraId="6FE2BFAB" w14:textId="77777777" w:rsidR="008B13D7" w:rsidRPr="008B13D7" w:rsidRDefault="008B13D7" w:rsidP="008B13D7">
            <w:pPr>
              <w:pStyle w:val="TableRowCentered"/>
              <w:spacing w:before="0" w:after="0"/>
              <w:jc w:val="left"/>
              <w:rPr>
                <w:color w:val="auto"/>
                <w:sz w:val="20"/>
              </w:rPr>
            </w:pPr>
          </w:p>
          <w:p w14:paraId="68E00186" w14:textId="77777777" w:rsidR="008B13D7" w:rsidRPr="008B13D7" w:rsidRDefault="008B13D7" w:rsidP="008B13D7">
            <w:pPr>
              <w:pStyle w:val="TableRowCentered"/>
              <w:spacing w:before="0" w:after="0"/>
              <w:jc w:val="left"/>
              <w:rPr>
                <w:color w:val="auto"/>
                <w:sz w:val="20"/>
              </w:rPr>
            </w:pPr>
            <w:r w:rsidRPr="008B13D7">
              <w:rPr>
                <w:color w:val="auto"/>
                <w:sz w:val="20"/>
              </w:rPr>
              <w:t xml:space="preserve">Additional support and experiences provided for children </w:t>
            </w:r>
            <w:proofErr w:type="gramStart"/>
            <w:r w:rsidRPr="008B13D7">
              <w:rPr>
                <w:color w:val="auto"/>
                <w:sz w:val="20"/>
              </w:rPr>
              <w:t>in order to</w:t>
            </w:r>
            <w:proofErr w:type="gramEnd"/>
            <w:r w:rsidRPr="008B13D7">
              <w:rPr>
                <w:color w:val="auto"/>
                <w:sz w:val="20"/>
              </w:rPr>
              <w:t xml:space="preserve"> receive opportunities.</w:t>
            </w:r>
          </w:p>
          <w:p w14:paraId="74A75C00" w14:textId="77777777" w:rsidR="008B13D7" w:rsidRPr="008B13D7" w:rsidRDefault="008B13D7" w:rsidP="008B13D7">
            <w:pPr>
              <w:pStyle w:val="TableRowCentered"/>
              <w:spacing w:before="0" w:after="0"/>
              <w:jc w:val="left"/>
              <w:rPr>
                <w:color w:val="auto"/>
                <w:sz w:val="20"/>
              </w:rPr>
            </w:pPr>
          </w:p>
          <w:p w14:paraId="53816289" w14:textId="77777777" w:rsidR="008B13D7" w:rsidRPr="008B13D7" w:rsidRDefault="008B13D7" w:rsidP="008B13D7">
            <w:pPr>
              <w:pStyle w:val="TableRowCentered"/>
              <w:spacing w:before="0" w:after="0"/>
              <w:jc w:val="left"/>
              <w:rPr>
                <w:color w:val="auto"/>
                <w:sz w:val="20"/>
              </w:rPr>
            </w:pPr>
            <w:r w:rsidRPr="008B13D7">
              <w:rPr>
                <w:color w:val="auto"/>
                <w:sz w:val="20"/>
              </w:rPr>
              <w:t>Music lessons from Shropshire Music Service:  Instrumental (e.g. guitars, recorders) and whole class music.</w:t>
            </w:r>
          </w:p>
          <w:p w14:paraId="25AE0966" w14:textId="77777777" w:rsidR="008B13D7" w:rsidRPr="008B13D7" w:rsidRDefault="008B13D7" w:rsidP="008B13D7">
            <w:pPr>
              <w:pStyle w:val="TableRowCentered"/>
              <w:spacing w:before="0" w:after="0"/>
              <w:jc w:val="left"/>
              <w:rPr>
                <w:color w:val="auto"/>
                <w:sz w:val="20"/>
              </w:rPr>
            </w:pPr>
          </w:p>
          <w:p w14:paraId="20AB498D" w14:textId="77777777" w:rsidR="008B13D7" w:rsidRPr="008B13D7" w:rsidRDefault="008B13D7" w:rsidP="008B13D7">
            <w:pPr>
              <w:pStyle w:val="TableRowCentered"/>
              <w:spacing w:before="0" w:after="0"/>
              <w:jc w:val="left"/>
              <w:rPr>
                <w:color w:val="auto"/>
                <w:sz w:val="20"/>
              </w:rPr>
            </w:pPr>
            <w:r w:rsidRPr="008B13D7">
              <w:rPr>
                <w:color w:val="auto"/>
                <w:sz w:val="20"/>
              </w:rPr>
              <w:t xml:space="preserve">After school clubs offered free to encourage participation.  Free clubs to be run 3 nights a week.  </w:t>
            </w:r>
          </w:p>
          <w:p w14:paraId="6631623D" w14:textId="77777777" w:rsidR="008B13D7" w:rsidRPr="008B13D7" w:rsidRDefault="008B13D7" w:rsidP="008B13D7">
            <w:pPr>
              <w:pStyle w:val="TableRowCentered"/>
              <w:spacing w:before="0" w:after="0"/>
              <w:jc w:val="left"/>
              <w:rPr>
                <w:color w:val="auto"/>
                <w:sz w:val="20"/>
              </w:rPr>
            </w:pPr>
          </w:p>
          <w:p w14:paraId="0F92AAF6" w14:textId="77777777" w:rsidR="008B13D7" w:rsidRPr="008B13D7" w:rsidRDefault="008B13D7" w:rsidP="008B13D7">
            <w:pPr>
              <w:pStyle w:val="TableRowCentered"/>
              <w:spacing w:before="0" w:after="0"/>
              <w:jc w:val="left"/>
              <w:rPr>
                <w:color w:val="auto"/>
                <w:sz w:val="20"/>
              </w:rPr>
            </w:pPr>
            <w:r w:rsidRPr="008B13D7">
              <w:rPr>
                <w:color w:val="auto"/>
                <w:sz w:val="20"/>
              </w:rPr>
              <w:t xml:space="preserve">Cost of the Year 6 residential trip to be subsidised by the school so that all PPG children can attend.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48F5" w14:textId="77777777" w:rsidR="008B13D7" w:rsidRPr="008B13D7" w:rsidRDefault="008B13D7" w:rsidP="008B13D7">
            <w:pPr>
              <w:pStyle w:val="TableRowCentered"/>
              <w:spacing w:before="0" w:after="0"/>
              <w:jc w:val="left"/>
              <w:rPr>
                <w:sz w:val="20"/>
              </w:rPr>
            </w:pPr>
          </w:p>
        </w:tc>
      </w:tr>
    </w:tbl>
    <w:p w14:paraId="353576E7" w14:textId="77777777" w:rsidR="008B13D7" w:rsidRPr="008B13D7" w:rsidRDefault="008B13D7" w:rsidP="008B13D7">
      <w:pPr>
        <w:spacing w:after="0" w:line="240" w:lineRule="auto"/>
        <w:rPr>
          <w:b/>
          <w:bCs/>
          <w:color w:val="104F75"/>
          <w:sz w:val="20"/>
          <w:szCs w:val="20"/>
        </w:rPr>
      </w:pPr>
    </w:p>
    <w:p w14:paraId="5F1F3F0D" w14:textId="77777777" w:rsidR="008B13D7" w:rsidRPr="008B13D7" w:rsidRDefault="008B13D7" w:rsidP="008B13D7">
      <w:pPr>
        <w:spacing w:after="0" w:line="240" w:lineRule="auto"/>
        <w:rPr>
          <w:b/>
          <w:bCs/>
          <w:color w:val="104F75"/>
          <w:sz w:val="20"/>
          <w:szCs w:val="20"/>
        </w:rPr>
      </w:pPr>
      <w:r w:rsidRPr="008B13D7">
        <w:rPr>
          <w:b/>
          <w:bCs/>
          <w:color w:val="104F75"/>
          <w:sz w:val="20"/>
          <w:szCs w:val="20"/>
        </w:rPr>
        <w:t>Total budgeted cost: £ 184,056</w:t>
      </w:r>
    </w:p>
    <w:p w14:paraId="496DFBCE" w14:textId="5B220EAA" w:rsidR="00B26717" w:rsidRPr="00B26717" w:rsidRDefault="008B13D7" w:rsidP="00B26717">
      <w:pPr>
        <w:pStyle w:val="TableRow"/>
        <w:spacing w:before="0" w:after="0"/>
        <w:ind w:left="0"/>
        <w:rPr>
          <w:b/>
          <w:bCs/>
          <w:sz w:val="20"/>
          <w:szCs w:val="20"/>
        </w:rPr>
      </w:pPr>
      <w:r w:rsidRPr="008B13D7">
        <w:rPr>
          <w:b/>
          <w:bCs/>
          <w:color w:val="104F75"/>
          <w:sz w:val="20"/>
          <w:szCs w:val="20"/>
        </w:rPr>
        <w:t>Total pupil premium allocated to school</w:t>
      </w:r>
      <w:r w:rsidR="00B26717">
        <w:rPr>
          <w:b/>
          <w:bCs/>
          <w:color w:val="104F75"/>
          <w:sz w:val="20"/>
          <w:szCs w:val="20"/>
        </w:rPr>
        <w:t xml:space="preserve">: </w:t>
      </w:r>
      <w:r w:rsidR="0086705B">
        <w:rPr>
          <w:b/>
          <w:bCs/>
          <w:color w:val="104F75"/>
          <w:sz w:val="20"/>
          <w:szCs w:val="20"/>
        </w:rPr>
        <w:t>£189.056</w:t>
      </w:r>
    </w:p>
    <w:p w14:paraId="13B6D7AE" w14:textId="77777777" w:rsidR="008B13D7" w:rsidRDefault="008B13D7" w:rsidP="00BE188C">
      <w:pPr>
        <w:spacing w:after="0" w:line="240" w:lineRule="auto"/>
      </w:pPr>
    </w:p>
    <w:p w14:paraId="7E2E4067" w14:textId="77777777" w:rsidR="008B13D7" w:rsidRDefault="008B13D7" w:rsidP="00BE188C">
      <w:pPr>
        <w:spacing w:after="0" w:line="240" w:lineRule="auto"/>
      </w:pPr>
    </w:p>
    <w:p w14:paraId="06932103" w14:textId="4FC28020" w:rsidR="008B13D7" w:rsidRPr="008B13D7" w:rsidRDefault="008B13D7" w:rsidP="008B13D7">
      <w:pPr>
        <w:pStyle w:val="Heading1"/>
        <w:spacing w:before="0" w:after="0" w:line="240" w:lineRule="auto"/>
        <w:contextualSpacing/>
        <w:jc w:val="center"/>
        <w:rPr>
          <w:rFonts w:ascii="Arial" w:hAnsi="Arial" w:cs="Arial"/>
          <w:b/>
          <w:bCs/>
          <w:sz w:val="24"/>
          <w:szCs w:val="24"/>
        </w:rPr>
      </w:pPr>
      <w:r w:rsidRPr="008B13D7">
        <w:rPr>
          <w:rFonts w:ascii="Arial" w:hAnsi="Arial" w:cs="Arial"/>
          <w:b/>
          <w:bCs/>
          <w:sz w:val="24"/>
          <w:szCs w:val="24"/>
        </w:rPr>
        <w:t xml:space="preserve">Part B: Review of the </w:t>
      </w:r>
      <w:r>
        <w:rPr>
          <w:rFonts w:ascii="Arial" w:hAnsi="Arial" w:cs="Arial"/>
          <w:b/>
          <w:bCs/>
          <w:sz w:val="24"/>
          <w:szCs w:val="24"/>
        </w:rPr>
        <w:t>P</w:t>
      </w:r>
      <w:r w:rsidRPr="008B13D7">
        <w:rPr>
          <w:rFonts w:ascii="Arial" w:hAnsi="Arial" w:cs="Arial"/>
          <w:b/>
          <w:bCs/>
          <w:sz w:val="24"/>
          <w:szCs w:val="24"/>
        </w:rPr>
        <w:t xml:space="preserve">revious </w:t>
      </w:r>
      <w:r>
        <w:rPr>
          <w:rFonts w:ascii="Arial" w:hAnsi="Arial" w:cs="Arial"/>
          <w:b/>
          <w:bCs/>
          <w:sz w:val="24"/>
          <w:szCs w:val="24"/>
        </w:rPr>
        <w:t>A</w:t>
      </w:r>
      <w:r w:rsidRPr="008B13D7">
        <w:rPr>
          <w:rFonts w:ascii="Arial" w:hAnsi="Arial" w:cs="Arial"/>
          <w:b/>
          <w:bCs/>
          <w:sz w:val="24"/>
          <w:szCs w:val="24"/>
        </w:rPr>
        <w:t xml:space="preserve">cademic </w:t>
      </w:r>
      <w:r>
        <w:rPr>
          <w:rFonts w:ascii="Arial" w:hAnsi="Arial" w:cs="Arial"/>
          <w:b/>
          <w:bCs/>
          <w:sz w:val="24"/>
          <w:szCs w:val="24"/>
        </w:rPr>
        <w:t>Y</w:t>
      </w:r>
      <w:r w:rsidRPr="008B13D7">
        <w:rPr>
          <w:rFonts w:ascii="Arial" w:hAnsi="Arial" w:cs="Arial"/>
          <w:b/>
          <w:bCs/>
          <w:sz w:val="24"/>
          <w:szCs w:val="24"/>
        </w:rPr>
        <w:t>ear</w:t>
      </w:r>
    </w:p>
    <w:p w14:paraId="46AF3E3D" w14:textId="77777777" w:rsidR="008B13D7" w:rsidRDefault="008B13D7" w:rsidP="008B13D7">
      <w:pPr>
        <w:pStyle w:val="Heading2"/>
        <w:spacing w:before="0" w:after="0" w:line="240" w:lineRule="auto"/>
        <w:contextualSpacing/>
        <w:jc w:val="center"/>
        <w:rPr>
          <w:rFonts w:ascii="Arial" w:hAnsi="Arial" w:cs="Arial"/>
          <w:b/>
          <w:bCs/>
          <w:sz w:val="24"/>
          <w:szCs w:val="24"/>
        </w:rPr>
      </w:pPr>
    </w:p>
    <w:p w14:paraId="47EB6051" w14:textId="4F69B0E5" w:rsidR="008B13D7" w:rsidRPr="008B13D7" w:rsidRDefault="008B13D7" w:rsidP="008B13D7">
      <w:pPr>
        <w:pStyle w:val="Heading2"/>
        <w:spacing w:before="0" w:after="0" w:line="240" w:lineRule="auto"/>
        <w:contextualSpacing/>
        <w:rPr>
          <w:rFonts w:ascii="Arial" w:hAnsi="Arial" w:cs="Arial"/>
          <w:b/>
          <w:bCs/>
          <w:sz w:val="24"/>
          <w:szCs w:val="24"/>
        </w:rPr>
      </w:pPr>
      <w:r w:rsidRPr="008B13D7">
        <w:rPr>
          <w:rFonts w:ascii="Arial" w:hAnsi="Arial" w:cs="Arial"/>
          <w:b/>
          <w:bCs/>
          <w:sz w:val="24"/>
          <w:szCs w:val="24"/>
        </w:rPr>
        <w:t>Outcomes for Pupil Premium Pupils</w:t>
      </w:r>
    </w:p>
    <w:tbl>
      <w:tblPr>
        <w:tblW w:w="10485" w:type="dxa"/>
        <w:tblCellMar>
          <w:left w:w="10" w:type="dxa"/>
          <w:right w:w="10" w:type="dxa"/>
        </w:tblCellMar>
        <w:tblLook w:val="04A0" w:firstRow="1" w:lastRow="0" w:firstColumn="1" w:lastColumn="0" w:noHBand="0" w:noVBand="1"/>
      </w:tblPr>
      <w:tblGrid>
        <w:gridCol w:w="10485"/>
      </w:tblGrid>
      <w:tr w:rsidR="008B13D7" w:rsidRPr="008B13D7" w14:paraId="4B9AA560" w14:textId="77777777" w:rsidTr="007C55BE">
        <w:trPr>
          <w:trHeight w:val="699"/>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DF37" w14:textId="77777777" w:rsidR="008B13D7" w:rsidRPr="008B13D7" w:rsidRDefault="008B13D7" w:rsidP="008B13D7">
            <w:pPr>
              <w:spacing w:after="0" w:line="240" w:lineRule="auto"/>
              <w:contextualSpacing/>
              <w:jc w:val="center"/>
              <w:rPr>
                <w:b/>
                <w:bCs/>
                <w:color w:val="000000"/>
                <w:sz w:val="20"/>
                <w:szCs w:val="20"/>
                <w:u w:val="single"/>
              </w:rPr>
            </w:pPr>
            <w:r w:rsidRPr="008B13D7">
              <w:rPr>
                <w:b/>
                <w:bCs/>
                <w:color w:val="000000"/>
                <w:sz w:val="20"/>
                <w:szCs w:val="20"/>
                <w:u w:val="single"/>
              </w:rPr>
              <w:t>Academic Outcomes 2024-25</w:t>
            </w:r>
          </w:p>
          <w:p w14:paraId="76EA3C6B"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EYFS</w:t>
            </w:r>
          </w:p>
          <w:p w14:paraId="131CD334" w14:textId="77777777" w:rsidR="008B13D7" w:rsidRPr="008B13D7" w:rsidRDefault="008B13D7" w:rsidP="008B13D7">
            <w:pPr>
              <w:spacing w:after="0" w:line="240" w:lineRule="auto"/>
              <w:contextualSpacing/>
              <w:rPr>
                <w:b/>
                <w:bCs/>
                <w:color w:val="000000"/>
                <w:sz w:val="20"/>
                <w:szCs w:val="20"/>
                <w:u w:val="single"/>
              </w:rPr>
            </w:pPr>
          </w:p>
          <w:tbl>
            <w:tblPr>
              <w:tblStyle w:val="TableGrid"/>
              <w:tblW w:w="0" w:type="auto"/>
              <w:tblLook w:val="04A0" w:firstRow="1" w:lastRow="0" w:firstColumn="1" w:lastColumn="0" w:noHBand="0" w:noVBand="1"/>
            </w:tblPr>
            <w:tblGrid>
              <w:gridCol w:w="1876"/>
              <w:gridCol w:w="1276"/>
              <w:gridCol w:w="1275"/>
              <w:gridCol w:w="1275"/>
            </w:tblGrid>
            <w:tr w:rsidR="00F30391" w:rsidRPr="008B13D7" w14:paraId="5968090D" w14:textId="5272C5CF" w:rsidTr="00F30391">
              <w:trPr>
                <w:trHeight w:val="319"/>
              </w:trPr>
              <w:tc>
                <w:tcPr>
                  <w:tcW w:w="1876" w:type="dxa"/>
                  <w:tcBorders>
                    <w:top w:val="nil"/>
                    <w:left w:val="nil"/>
                  </w:tcBorders>
                </w:tcPr>
                <w:p w14:paraId="53DF2EF5" w14:textId="77777777" w:rsidR="00F30391" w:rsidRPr="008B13D7" w:rsidRDefault="00F30391" w:rsidP="008B13D7">
                  <w:pPr>
                    <w:spacing w:after="0" w:line="240" w:lineRule="auto"/>
                    <w:contextualSpacing/>
                    <w:rPr>
                      <w:b/>
                      <w:bCs/>
                      <w:noProof/>
                    </w:rPr>
                  </w:pPr>
                </w:p>
              </w:tc>
              <w:tc>
                <w:tcPr>
                  <w:tcW w:w="1276" w:type="dxa"/>
                  <w:shd w:val="clear" w:color="auto" w:fill="C1E4F5" w:themeFill="accent1" w:themeFillTint="33"/>
                </w:tcPr>
                <w:p w14:paraId="34194845" w14:textId="77777777" w:rsidR="00F30391" w:rsidRPr="008B13D7" w:rsidRDefault="00F30391" w:rsidP="008B13D7">
                  <w:pPr>
                    <w:spacing w:after="0" w:line="240" w:lineRule="auto"/>
                    <w:contextualSpacing/>
                    <w:jc w:val="center"/>
                    <w:rPr>
                      <w:b/>
                      <w:bCs/>
                      <w:noProof/>
                    </w:rPr>
                  </w:pPr>
                  <w:r w:rsidRPr="008B13D7">
                    <w:rPr>
                      <w:b/>
                      <w:bCs/>
                      <w:noProof/>
                    </w:rPr>
                    <w:t>School</w:t>
                  </w:r>
                </w:p>
                <w:p w14:paraId="48F63BAF"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5" w:type="dxa"/>
                  <w:shd w:val="clear" w:color="auto" w:fill="C1F0C7" w:themeFill="accent3" w:themeFillTint="33"/>
                </w:tcPr>
                <w:p w14:paraId="295C8064" w14:textId="77777777" w:rsidR="00F30391" w:rsidRPr="008B13D7" w:rsidRDefault="00F30391" w:rsidP="008B13D7">
                  <w:pPr>
                    <w:spacing w:after="0" w:line="240" w:lineRule="auto"/>
                    <w:contextualSpacing/>
                    <w:jc w:val="center"/>
                    <w:rPr>
                      <w:b/>
                      <w:bCs/>
                      <w:noProof/>
                    </w:rPr>
                  </w:pPr>
                  <w:r w:rsidRPr="008B13D7">
                    <w:rPr>
                      <w:b/>
                      <w:bCs/>
                      <w:noProof/>
                    </w:rPr>
                    <w:t>National</w:t>
                  </w:r>
                </w:p>
                <w:p w14:paraId="5CB651AC"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5" w:type="dxa"/>
                  <w:shd w:val="clear" w:color="auto" w:fill="FAE2D5" w:themeFill="accent2" w:themeFillTint="33"/>
                </w:tcPr>
                <w:p w14:paraId="50D6EAF8" w14:textId="77777777" w:rsidR="00F30391" w:rsidRDefault="00F30391" w:rsidP="008B13D7">
                  <w:pPr>
                    <w:spacing w:after="0" w:line="240" w:lineRule="auto"/>
                    <w:contextualSpacing/>
                    <w:jc w:val="center"/>
                    <w:rPr>
                      <w:b/>
                      <w:bCs/>
                      <w:noProof/>
                    </w:rPr>
                  </w:pPr>
                  <w:r>
                    <w:rPr>
                      <w:b/>
                      <w:bCs/>
                      <w:noProof/>
                    </w:rPr>
                    <w:t>LA</w:t>
                  </w:r>
                </w:p>
                <w:p w14:paraId="181B70CA" w14:textId="4A3EE3EC" w:rsidR="00F30391" w:rsidRPr="008B13D7" w:rsidRDefault="00F30391" w:rsidP="008B13D7">
                  <w:pPr>
                    <w:spacing w:after="0" w:line="240" w:lineRule="auto"/>
                    <w:contextualSpacing/>
                    <w:jc w:val="center"/>
                    <w:rPr>
                      <w:b/>
                      <w:bCs/>
                      <w:noProof/>
                    </w:rPr>
                  </w:pPr>
                  <w:r>
                    <w:rPr>
                      <w:b/>
                      <w:bCs/>
                      <w:noProof/>
                    </w:rPr>
                    <w:t>2025</w:t>
                  </w:r>
                </w:p>
              </w:tc>
            </w:tr>
            <w:tr w:rsidR="00F30391" w:rsidRPr="008B13D7" w14:paraId="0D0AD9E6" w14:textId="6FC2C002" w:rsidTr="00B526B6">
              <w:trPr>
                <w:trHeight w:val="342"/>
              </w:trPr>
              <w:tc>
                <w:tcPr>
                  <w:tcW w:w="1876" w:type="dxa"/>
                </w:tcPr>
                <w:p w14:paraId="07302233" w14:textId="77777777" w:rsidR="00F30391" w:rsidRPr="008B13D7" w:rsidRDefault="00F30391" w:rsidP="008B13D7">
                  <w:pPr>
                    <w:spacing w:after="0" w:line="240" w:lineRule="auto"/>
                    <w:contextualSpacing/>
                    <w:rPr>
                      <w:b/>
                      <w:bCs/>
                      <w:noProof/>
                    </w:rPr>
                  </w:pPr>
                  <w:r w:rsidRPr="008B13D7">
                    <w:rPr>
                      <w:b/>
                      <w:bCs/>
                      <w:noProof/>
                    </w:rPr>
                    <w:t>All</w:t>
                  </w:r>
                </w:p>
                <w:p w14:paraId="5C9CB646" w14:textId="1E0F9303" w:rsidR="00F30391" w:rsidRPr="008B13D7" w:rsidRDefault="00F30391" w:rsidP="008B13D7">
                  <w:pPr>
                    <w:spacing w:after="0" w:line="240" w:lineRule="auto"/>
                    <w:contextualSpacing/>
                    <w:rPr>
                      <w:b/>
                      <w:bCs/>
                      <w:noProof/>
                      <w:color w:val="0070C0"/>
                    </w:rPr>
                  </w:pPr>
                  <w:r w:rsidRPr="008B13D7">
                    <w:rPr>
                      <w:b/>
                      <w:bCs/>
                      <w:noProof/>
                      <w:color w:val="0070C0"/>
                    </w:rPr>
                    <w:t>PP</w:t>
                  </w:r>
                </w:p>
              </w:tc>
              <w:tc>
                <w:tcPr>
                  <w:tcW w:w="1276" w:type="dxa"/>
                </w:tcPr>
                <w:p w14:paraId="03097AAB" w14:textId="77777777" w:rsidR="00F30391" w:rsidRPr="008B13D7" w:rsidRDefault="00F30391" w:rsidP="008B13D7">
                  <w:pPr>
                    <w:spacing w:after="0" w:line="240" w:lineRule="auto"/>
                    <w:contextualSpacing/>
                    <w:jc w:val="center"/>
                    <w:rPr>
                      <w:b/>
                      <w:bCs/>
                      <w:noProof/>
                    </w:rPr>
                  </w:pPr>
                  <w:r w:rsidRPr="008B13D7">
                    <w:rPr>
                      <w:b/>
                      <w:bCs/>
                      <w:noProof/>
                    </w:rPr>
                    <w:t>65%</w:t>
                  </w:r>
                </w:p>
                <w:p w14:paraId="1DB3A06E" w14:textId="77777777" w:rsidR="00F30391" w:rsidRPr="008B13D7" w:rsidRDefault="00F30391" w:rsidP="008B13D7">
                  <w:pPr>
                    <w:spacing w:after="0" w:line="240" w:lineRule="auto"/>
                    <w:contextualSpacing/>
                    <w:jc w:val="center"/>
                    <w:rPr>
                      <w:b/>
                      <w:bCs/>
                      <w:noProof/>
                      <w:color w:val="0070C0"/>
                    </w:rPr>
                  </w:pPr>
                  <w:r w:rsidRPr="008B13D7">
                    <w:rPr>
                      <w:b/>
                      <w:bCs/>
                      <w:noProof/>
                      <w:color w:val="0070C0"/>
                    </w:rPr>
                    <w:t>36%</w:t>
                  </w:r>
                </w:p>
              </w:tc>
              <w:tc>
                <w:tcPr>
                  <w:tcW w:w="1275" w:type="dxa"/>
                </w:tcPr>
                <w:p w14:paraId="0F1E592F" w14:textId="77777777" w:rsidR="00F30391" w:rsidRDefault="00F30391" w:rsidP="008B13D7">
                  <w:pPr>
                    <w:spacing w:after="0" w:line="240" w:lineRule="auto"/>
                    <w:contextualSpacing/>
                    <w:jc w:val="center"/>
                    <w:rPr>
                      <w:b/>
                      <w:bCs/>
                      <w:noProof/>
                    </w:rPr>
                  </w:pPr>
                  <w:r w:rsidRPr="008B13D7">
                    <w:rPr>
                      <w:b/>
                      <w:bCs/>
                      <w:noProof/>
                    </w:rPr>
                    <w:t>68%</w:t>
                  </w:r>
                </w:p>
                <w:p w14:paraId="1A50138D" w14:textId="4BB4AAD9" w:rsidR="00F30391" w:rsidRPr="00F30391" w:rsidRDefault="00F30391" w:rsidP="00F30391">
                  <w:pPr>
                    <w:spacing w:after="0" w:line="240" w:lineRule="auto"/>
                    <w:contextualSpacing/>
                    <w:jc w:val="center"/>
                    <w:rPr>
                      <w:b/>
                      <w:bCs/>
                      <w:noProof/>
                      <w:color w:val="0070C0"/>
                    </w:rPr>
                  </w:pPr>
                  <w:r w:rsidRPr="00F30391">
                    <w:rPr>
                      <w:b/>
                      <w:bCs/>
                      <w:noProof/>
                      <w:color w:val="0070C0"/>
                    </w:rPr>
                    <w:t>51%</w:t>
                  </w:r>
                </w:p>
              </w:tc>
              <w:tc>
                <w:tcPr>
                  <w:tcW w:w="1275" w:type="dxa"/>
                </w:tcPr>
                <w:p w14:paraId="6E2ABD21" w14:textId="77777777" w:rsidR="00F30391" w:rsidRDefault="00F30391" w:rsidP="008B13D7">
                  <w:pPr>
                    <w:spacing w:after="0" w:line="240" w:lineRule="auto"/>
                    <w:contextualSpacing/>
                    <w:jc w:val="center"/>
                    <w:rPr>
                      <w:b/>
                      <w:bCs/>
                      <w:noProof/>
                    </w:rPr>
                  </w:pPr>
                  <w:r>
                    <w:rPr>
                      <w:b/>
                      <w:bCs/>
                      <w:noProof/>
                    </w:rPr>
                    <w:t>67%</w:t>
                  </w:r>
                </w:p>
                <w:p w14:paraId="1D4D09A2" w14:textId="1C8674E7" w:rsidR="00F30391" w:rsidRPr="008B13D7" w:rsidRDefault="00F30391" w:rsidP="008B13D7">
                  <w:pPr>
                    <w:spacing w:after="0" w:line="240" w:lineRule="auto"/>
                    <w:contextualSpacing/>
                    <w:jc w:val="center"/>
                    <w:rPr>
                      <w:b/>
                      <w:bCs/>
                      <w:noProof/>
                    </w:rPr>
                  </w:pPr>
                  <w:r w:rsidRPr="00F30391">
                    <w:rPr>
                      <w:b/>
                      <w:bCs/>
                      <w:noProof/>
                      <w:color w:val="0070C0"/>
                    </w:rPr>
                    <w:t>51%</w:t>
                  </w:r>
                </w:p>
              </w:tc>
            </w:tr>
          </w:tbl>
          <w:p w14:paraId="7455FF94" w14:textId="77777777" w:rsidR="008B13D7" w:rsidRPr="008B13D7" w:rsidRDefault="008B13D7" w:rsidP="008B13D7">
            <w:pPr>
              <w:spacing w:after="0" w:line="240" w:lineRule="auto"/>
              <w:contextualSpacing/>
              <w:jc w:val="center"/>
              <w:rPr>
                <w:b/>
                <w:bCs/>
                <w:color w:val="000000"/>
                <w:sz w:val="20"/>
                <w:szCs w:val="20"/>
                <w:u w:val="single"/>
              </w:rPr>
            </w:pPr>
          </w:p>
          <w:p w14:paraId="223AC55B" w14:textId="77777777" w:rsidR="008B13D7" w:rsidRPr="008B13D7" w:rsidRDefault="008B13D7" w:rsidP="008B13D7">
            <w:pPr>
              <w:spacing w:after="0" w:line="240" w:lineRule="auto"/>
              <w:contextualSpacing/>
              <w:rPr>
                <w:b/>
                <w:bCs/>
                <w:color w:val="000000"/>
                <w:sz w:val="20"/>
                <w:szCs w:val="20"/>
                <w:u w:val="single"/>
              </w:rPr>
            </w:pPr>
          </w:p>
          <w:p w14:paraId="43B1FFD0"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Phonic Screening Check Outcomes</w:t>
            </w:r>
          </w:p>
          <w:p w14:paraId="1EAF9A8B" w14:textId="77777777" w:rsidR="008B13D7" w:rsidRPr="008B13D7" w:rsidRDefault="008B13D7" w:rsidP="008B13D7">
            <w:pPr>
              <w:spacing w:after="0" w:line="240" w:lineRule="auto"/>
              <w:contextualSpacing/>
              <w:rPr>
                <w:b/>
                <w:bCs/>
                <w:color w:val="000000"/>
                <w:sz w:val="20"/>
                <w:szCs w:val="20"/>
                <w:u w:val="single"/>
              </w:rPr>
            </w:pPr>
          </w:p>
          <w:tbl>
            <w:tblPr>
              <w:tblStyle w:val="TableGrid"/>
              <w:tblW w:w="0" w:type="auto"/>
              <w:tblLook w:val="04A0" w:firstRow="1" w:lastRow="0" w:firstColumn="1" w:lastColumn="0" w:noHBand="0" w:noVBand="1"/>
            </w:tblPr>
            <w:tblGrid>
              <w:gridCol w:w="1876"/>
              <w:gridCol w:w="1276"/>
              <w:gridCol w:w="1275"/>
              <w:gridCol w:w="1276"/>
            </w:tblGrid>
            <w:tr w:rsidR="00F30391" w:rsidRPr="008B13D7" w14:paraId="03524DCF" w14:textId="4E2B7820" w:rsidTr="00F30391">
              <w:trPr>
                <w:trHeight w:val="319"/>
              </w:trPr>
              <w:tc>
                <w:tcPr>
                  <w:tcW w:w="1876" w:type="dxa"/>
                  <w:tcBorders>
                    <w:top w:val="nil"/>
                    <w:left w:val="nil"/>
                  </w:tcBorders>
                </w:tcPr>
                <w:p w14:paraId="51C88104" w14:textId="77777777" w:rsidR="00F30391" w:rsidRPr="008B13D7" w:rsidRDefault="00F30391" w:rsidP="008B13D7">
                  <w:pPr>
                    <w:spacing w:after="0" w:line="240" w:lineRule="auto"/>
                    <w:contextualSpacing/>
                    <w:rPr>
                      <w:b/>
                      <w:bCs/>
                      <w:noProof/>
                    </w:rPr>
                  </w:pPr>
                </w:p>
              </w:tc>
              <w:tc>
                <w:tcPr>
                  <w:tcW w:w="1276" w:type="dxa"/>
                  <w:shd w:val="clear" w:color="auto" w:fill="C1E4F5" w:themeFill="accent1" w:themeFillTint="33"/>
                </w:tcPr>
                <w:p w14:paraId="140A4AFA" w14:textId="77777777" w:rsidR="00F30391" w:rsidRPr="008B13D7" w:rsidRDefault="00F30391" w:rsidP="008B13D7">
                  <w:pPr>
                    <w:spacing w:after="0" w:line="240" w:lineRule="auto"/>
                    <w:contextualSpacing/>
                    <w:jc w:val="center"/>
                    <w:rPr>
                      <w:b/>
                      <w:bCs/>
                      <w:noProof/>
                    </w:rPr>
                  </w:pPr>
                  <w:r w:rsidRPr="008B13D7">
                    <w:rPr>
                      <w:b/>
                      <w:bCs/>
                      <w:noProof/>
                    </w:rPr>
                    <w:t>School</w:t>
                  </w:r>
                </w:p>
                <w:p w14:paraId="69EB0819"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5" w:type="dxa"/>
                  <w:shd w:val="clear" w:color="auto" w:fill="C1F0C7" w:themeFill="accent3" w:themeFillTint="33"/>
                </w:tcPr>
                <w:p w14:paraId="78A29885" w14:textId="77777777" w:rsidR="00F30391" w:rsidRPr="008B13D7" w:rsidRDefault="00F30391" w:rsidP="008B13D7">
                  <w:pPr>
                    <w:spacing w:after="0" w:line="240" w:lineRule="auto"/>
                    <w:contextualSpacing/>
                    <w:jc w:val="center"/>
                    <w:rPr>
                      <w:b/>
                      <w:bCs/>
                      <w:noProof/>
                    </w:rPr>
                  </w:pPr>
                  <w:r w:rsidRPr="008B13D7">
                    <w:rPr>
                      <w:b/>
                      <w:bCs/>
                      <w:noProof/>
                    </w:rPr>
                    <w:t>National</w:t>
                  </w:r>
                </w:p>
                <w:p w14:paraId="10C226AC"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6" w:type="dxa"/>
                  <w:shd w:val="clear" w:color="auto" w:fill="FAE2D5" w:themeFill="accent2" w:themeFillTint="33"/>
                </w:tcPr>
                <w:p w14:paraId="46E7485C" w14:textId="77777777" w:rsidR="00F30391" w:rsidRDefault="00F30391" w:rsidP="008B13D7">
                  <w:pPr>
                    <w:spacing w:after="0" w:line="240" w:lineRule="auto"/>
                    <w:contextualSpacing/>
                    <w:jc w:val="center"/>
                    <w:rPr>
                      <w:b/>
                      <w:bCs/>
                      <w:noProof/>
                    </w:rPr>
                  </w:pPr>
                  <w:r>
                    <w:rPr>
                      <w:b/>
                      <w:bCs/>
                      <w:noProof/>
                    </w:rPr>
                    <w:t>LA</w:t>
                  </w:r>
                </w:p>
                <w:p w14:paraId="74AC39A4" w14:textId="11B6F056" w:rsidR="00F30391" w:rsidRPr="008B13D7" w:rsidRDefault="00F30391" w:rsidP="008B13D7">
                  <w:pPr>
                    <w:spacing w:after="0" w:line="240" w:lineRule="auto"/>
                    <w:contextualSpacing/>
                    <w:jc w:val="center"/>
                    <w:rPr>
                      <w:b/>
                      <w:bCs/>
                      <w:noProof/>
                    </w:rPr>
                  </w:pPr>
                  <w:r>
                    <w:rPr>
                      <w:b/>
                      <w:bCs/>
                      <w:noProof/>
                    </w:rPr>
                    <w:t>2025</w:t>
                  </w:r>
                </w:p>
              </w:tc>
            </w:tr>
            <w:tr w:rsidR="00F30391" w:rsidRPr="008B13D7" w14:paraId="647D3C05" w14:textId="0E2C3680" w:rsidTr="00F30391">
              <w:trPr>
                <w:trHeight w:val="342"/>
              </w:trPr>
              <w:tc>
                <w:tcPr>
                  <w:tcW w:w="1876" w:type="dxa"/>
                </w:tcPr>
                <w:p w14:paraId="077FAFF5" w14:textId="77777777" w:rsidR="00F30391" w:rsidRPr="008B13D7" w:rsidRDefault="00F30391" w:rsidP="008B13D7">
                  <w:pPr>
                    <w:spacing w:after="0" w:line="240" w:lineRule="auto"/>
                    <w:contextualSpacing/>
                    <w:rPr>
                      <w:b/>
                      <w:bCs/>
                      <w:noProof/>
                    </w:rPr>
                  </w:pPr>
                  <w:r w:rsidRPr="008B13D7">
                    <w:rPr>
                      <w:b/>
                      <w:bCs/>
                      <w:noProof/>
                    </w:rPr>
                    <w:t>All</w:t>
                  </w:r>
                </w:p>
                <w:p w14:paraId="488DEE7F" w14:textId="5FDC35FA" w:rsidR="00F30391" w:rsidRPr="008B13D7" w:rsidRDefault="00F30391" w:rsidP="008B13D7">
                  <w:pPr>
                    <w:spacing w:after="0" w:line="240" w:lineRule="auto"/>
                    <w:contextualSpacing/>
                    <w:rPr>
                      <w:b/>
                      <w:bCs/>
                      <w:noProof/>
                      <w:color w:val="0070C0"/>
                    </w:rPr>
                  </w:pPr>
                  <w:r w:rsidRPr="008B13D7">
                    <w:rPr>
                      <w:b/>
                      <w:bCs/>
                      <w:noProof/>
                      <w:color w:val="0070C0"/>
                    </w:rPr>
                    <w:t>PP</w:t>
                  </w:r>
                </w:p>
              </w:tc>
              <w:tc>
                <w:tcPr>
                  <w:tcW w:w="1276" w:type="dxa"/>
                </w:tcPr>
                <w:p w14:paraId="08035A38" w14:textId="77777777" w:rsidR="00F30391" w:rsidRPr="008B13D7" w:rsidRDefault="00F30391" w:rsidP="008B13D7">
                  <w:pPr>
                    <w:spacing w:after="0" w:line="240" w:lineRule="auto"/>
                    <w:contextualSpacing/>
                    <w:jc w:val="center"/>
                    <w:rPr>
                      <w:b/>
                      <w:bCs/>
                      <w:noProof/>
                    </w:rPr>
                  </w:pPr>
                  <w:r w:rsidRPr="008B13D7">
                    <w:rPr>
                      <w:b/>
                      <w:bCs/>
                      <w:noProof/>
                    </w:rPr>
                    <w:t>54%</w:t>
                  </w:r>
                </w:p>
                <w:p w14:paraId="03A8C39B" w14:textId="77777777" w:rsidR="00F30391" w:rsidRPr="008B13D7" w:rsidRDefault="00F30391" w:rsidP="008B13D7">
                  <w:pPr>
                    <w:spacing w:after="0" w:line="240" w:lineRule="auto"/>
                    <w:contextualSpacing/>
                    <w:jc w:val="center"/>
                    <w:rPr>
                      <w:b/>
                      <w:bCs/>
                      <w:noProof/>
                      <w:color w:val="0070C0"/>
                    </w:rPr>
                  </w:pPr>
                  <w:r w:rsidRPr="008B13D7">
                    <w:rPr>
                      <w:b/>
                      <w:bCs/>
                      <w:noProof/>
                      <w:color w:val="0070C0"/>
                    </w:rPr>
                    <w:t>33%</w:t>
                  </w:r>
                </w:p>
              </w:tc>
              <w:tc>
                <w:tcPr>
                  <w:tcW w:w="1275" w:type="dxa"/>
                </w:tcPr>
                <w:p w14:paraId="7C64B9B1" w14:textId="77777777" w:rsidR="00F30391" w:rsidRPr="008B13D7" w:rsidRDefault="00F30391" w:rsidP="008B13D7">
                  <w:pPr>
                    <w:spacing w:after="0" w:line="240" w:lineRule="auto"/>
                    <w:contextualSpacing/>
                    <w:jc w:val="center"/>
                    <w:rPr>
                      <w:b/>
                      <w:bCs/>
                      <w:noProof/>
                    </w:rPr>
                  </w:pPr>
                  <w:r w:rsidRPr="008B13D7">
                    <w:rPr>
                      <w:b/>
                      <w:bCs/>
                      <w:noProof/>
                    </w:rPr>
                    <w:t>80%</w:t>
                  </w:r>
                </w:p>
                <w:p w14:paraId="3F34B7D5" w14:textId="36FE6A30" w:rsidR="00F30391" w:rsidRPr="008B13D7" w:rsidRDefault="00F30391" w:rsidP="008B13D7">
                  <w:pPr>
                    <w:spacing w:after="0" w:line="240" w:lineRule="auto"/>
                    <w:contextualSpacing/>
                    <w:jc w:val="center"/>
                    <w:rPr>
                      <w:b/>
                      <w:bCs/>
                      <w:noProof/>
                    </w:rPr>
                  </w:pPr>
                </w:p>
              </w:tc>
              <w:tc>
                <w:tcPr>
                  <w:tcW w:w="1276" w:type="dxa"/>
                </w:tcPr>
                <w:p w14:paraId="397EDBFD" w14:textId="77777777" w:rsidR="00F30391" w:rsidRDefault="00F30391" w:rsidP="008B13D7">
                  <w:pPr>
                    <w:spacing w:after="0" w:line="240" w:lineRule="auto"/>
                    <w:contextualSpacing/>
                    <w:jc w:val="center"/>
                    <w:rPr>
                      <w:b/>
                      <w:bCs/>
                      <w:noProof/>
                    </w:rPr>
                  </w:pPr>
                  <w:r>
                    <w:rPr>
                      <w:b/>
                      <w:bCs/>
                      <w:noProof/>
                    </w:rPr>
                    <w:t>80%</w:t>
                  </w:r>
                </w:p>
                <w:p w14:paraId="513391F5" w14:textId="593C8E53" w:rsidR="00F30391" w:rsidRPr="008B13D7" w:rsidRDefault="00F30391" w:rsidP="008B13D7">
                  <w:pPr>
                    <w:spacing w:after="0" w:line="240" w:lineRule="auto"/>
                    <w:contextualSpacing/>
                    <w:jc w:val="center"/>
                    <w:rPr>
                      <w:b/>
                      <w:bCs/>
                      <w:noProof/>
                    </w:rPr>
                  </w:pPr>
                </w:p>
              </w:tc>
            </w:tr>
          </w:tbl>
          <w:p w14:paraId="33747D42" w14:textId="77777777" w:rsidR="008B13D7" w:rsidRPr="008B13D7" w:rsidRDefault="008B13D7" w:rsidP="008B13D7">
            <w:pPr>
              <w:spacing w:after="0" w:line="240" w:lineRule="auto"/>
              <w:contextualSpacing/>
              <w:rPr>
                <w:b/>
                <w:bCs/>
                <w:color w:val="000000"/>
                <w:sz w:val="20"/>
                <w:szCs w:val="20"/>
              </w:rPr>
            </w:pPr>
          </w:p>
          <w:p w14:paraId="16F626F8" w14:textId="77777777" w:rsidR="008B13D7" w:rsidRPr="008B13D7" w:rsidRDefault="008B13D7" w:rsidP="008B13D7">
            <w:pPr>
              <w:spacing w:after="0" w:line="240" w:lineRule="auto"/>
              <w:contextualSpacing/>
              <w:rPr>
                <w:b/>
                <w:bCs/>
                <w:color w:val="000000"/>
                <w:sz w:val="20"/>
                <w:szCs w:val="20"/>
              </w:rPr>
            </w:pPr>
          </w:p>
          <w:p w14:paraId="7F3D27C0" w14:textId="0117E002"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KS2 Outcomes</w:t>
            </w:r>
          </w:p>
          <w:p w14:paraId="1B500B0E" w14:textId="3E9D5CE8" w:rsidR="008B13D7" w:rsidRPr="008B13D7" w:rsidRDefault="008B13D7" w:rsidP="008B13D7">
            <w:pPr>
              <w:pStyle w:val="TableRowCentered"/>
              <w:spacing w:before="0" w:after="0"/>
              <w:ind w:left="0"/>
              <w:contextualSpacing/>
              <w:jc w:val="left"/>
              <w:rPr>
                <w:b/>
                <w:bCs/>
                <w:color w:val="auto"/>
                <w:sz w:val="20"/>
                <w:u w:val="single"/>
              </w:rPr>
            </w:pPr>
            <w:r w:rsidRPr="008B13D7">
              <w:rPr>
                <w:b/>
                <w:bCs/>
                <w:color w:val="auto"/>
                <w:sz w:val="20"/>
                <w:u w:val="single"/>
              </w:rPr>
              <w:t xml:space="preserve"> </w:t>
            </w:r>
          </w:p>
          <w:tbl>
            <w:tblPr>
              <w:tblStyle w:val="TableGrid"/>
              <w:tblW w:w="0" w:type="auto"/>
              <w:tblLook w:val="04A0" w:firstRow="1" w:lastRow="0" w:firstColumn="1" w:lastColumn="0" w:noHBand="0" w:noVBand="1"/>
            </w:tblPr>
            <w:tblGrid>
              <w:gridCol w:w="1876"/>
              <w:gridCol w:w="1276"/>
              <w:gridCol w:w="1241"/>
              <w:gridCol w:w="1310"/>
              <w:gridCol w:w="1310"/>
              <w:gridCol w:w="1276"/>
              <w:gridCol w:w="1276"/>
            </w:tblGrid>
            <w:tr w:rsidR="00F30391" w:rsidRPr="008B13D7" w14:paraId="14DE1F99" w14:textId="32546A6A" w:rsidTr="002138DD">
              <w:trPr>
                <w:trHeight w:val="323"/>
              </w:trPr>
              <w:tc>
                <w:tcPr>
                  <w:tcW w:w="1876" w:type="dxa"/>
                  <w:tcBorders>
                    <w:top w:val="nil"/>
                    <w:left w:val="nil"/>
                    <w:bottom w:val="nil"/>
                  </w:tcBorders>
                </w:tcPr>
                <w:p w14:paraId="68C4CB12" w14:textId="77777777" w:rsidR="00F30391" w:rsidRPr="008B13D7" w:rsidRDefault="00F30391" w:rsidP="008B13D7">
                  <w:pPr>
                    <w:spacing w:after="0" w:line="240" w:lineRule="auto"/>
                    <w:contextualSpacing/>
                    <w:rPr>
                      <w:b/>
                      <w:bCs/>
                      <w:noProof/>
                    </w:rPr>
                  </w:pPr>
                </w:p>
              </w:tc>
              <w:tc>
                <w:tcPr>
                  <w:tcW w:w="2517" w:type="dxa"/>
                  <w:gridSpan w:val="2"/>
                </w:tcPr>
                <w:p w14:paraId="60AF5ED2" w14:textId="77777777" w:rsidR="00F30391" w:rsidRPr="008B13D7" w:rsidRDefault="00F30391" w:rsidP="008B13D7">
                  <w:pPr>
                    <w:spacing w:after="0" w:line="240" w:lineRule="auto"/>
                    <w:contextualSpacing/>
                    <w:jc w:val="center"/>
                    <w:rPr>
                      <w:b/>
                      <w:bCs/>
                      <w:noProof/>
                    </w:rPr>
                  </w:pPr>
                  <w:r w:rsidRPr="008B13D7">
                    <w:rPr>
                      <w:b/>
                      <w:bCs/>
                      <w:noProof/>
                    </w:rPr>
                    <w:t>ARE</w:t>
                  </w:r>
                </w:p>
              </w:tc>
              <w:tc>
                <w:tcPr>
                  <w:tcW w:w="1310" w:type="dxa"/>
                </w:tcPr>
                <w:p w14:paraId="17252460" w14:textId="77777777" w:rsidR="00F30391" w:rsidRPr="008B13D7" w:rsidRDefault="00F30391" w:rsidP="008B13D7">
                  <w:pPr>
                    <w:spacing w:after="0" w:line="240" w:lineRule="auto"/>
                    <w:contextualSpacing/>
                    <w:jc w:val="center"/>
                    <w:rPr>
                      <w:b/>
                      <w:bCs/>
                      <w:noProof/>
                    </w:rPr>
                  </w:pPr>
                </w:p>
              </w:tc>
              <w:tc>
                <w:tcPr>
                  <w:tcW w:w="2586" w:type="dxa"/>
                  <w:gridSpan w:val="2"/>
                </w:tcPr>
                <w:p w14:paraId="42D58863" w14:textId="4F3DF677" w:rsidR="00F30391" w:rsidRPr="008B13D7" w:rsidRDefault="00F30391" w:rsidP="008B13D7">
                  <w:pPr>
                    <w:spacing w:after="0" w:line="240" w:lineRule="auto"/>
                    <w:contextualSpacing/>
                    <w:jc w:val="center"/>
                    <w:rPr>
                      <w:b/>
                      <w:bCs/>
                      <w:noProof/>
                    </w:rPr>
                  </w:pPr>
                  <w:r w:rsidRPr="008B13D7">
                    <w:rPr>
                      <w:b/>
                      <w:bCs/>
                      <w:noProof/>
                    </w:rPr>
                    <w:t>GDS</w:t>
                  </w:r>
                </w:p>
              </w:tc>
              <w:tc>
                <w:tcPr>
                  <w:tcW w:w="1276" w:type="dxa"/>
                </w:tcPr>
                <w:p w14:paraId="6B832398" w14:textId="77777777" w:rsidR="00F30391" w:rsidRPr="008B13D7" w:rsidRDefault="00F30391" w:rsidP="008B13D7">
                  <w:pPr>
                    <w:spacing w:after="0" w:line="240" w:lineRule="auto"/>
                    <w:contextualSpacing/>
                    <w:jc w:val="center"/>
                    <w:rPr>
                      <w:b/>
                      <w:bCs/>
                      <w:noProof/>
                    </w:rPr>
                  </w:pPr>
                </w:p>
              </w:tc>
            </w:tr>
            <w:tr w:rsidR="00F30391" w:rsidRPr="008B13D7" w14:paraId="0D82A0D7" w14:textId="20F97C2D" w:rsidTr="00F30391">
              <w:trPr>
                <w:trHeight w:val="323"/>
              </w:trPr>
              <w:tc>
                <w:tcPr>
                  <w:tcW w:w="1876" w:type="dxa"/>
                  <w:tcBorders>
                    <w:top w:val="nil"/>
                    <w:left w:val="nil"/>
                  </w:tcBorders>
                </w:tcPr>
                <w:p w14:paraId="286EFE0F" w14:textId="77777777" w:rsidR="00F30391" w:rsidRPr="008B13D7" w:rsidRDefault="00F30391" w:rsidP="008B13D7">
                  <w:pPr>
                    <w:spacing w:after="0" w:line="240" w:lineRule="auto"/>
                    <w:contextualSpacing/>
                    <w:rPr>
                      <w:b/>
                      <w:bCs/>
                      <w:noProof/>
                    </w:rPr>
                  </w:pPr>
                </w:p>
              </w:tc>
              <w:tc>
                <w:tcPr>
                  <w:tcW w:w="1276" w:type="dxa"/>
                  <w:shd w:val="clear" w:color="auto" w:fill="C1E4F5" w:themeFill="accent1" w:themeFillTint="33"/>
                </w:tcPr>
                <w:p w14:paraId="4515583F" w14:textId="77777777" w:rsidR="00F30391" w:rsidRPr="008B13D7" w:rsidRDefault="00F30391" w:rsidP="008B13D7">
                  <w:pPr>
                    <w:spacing w:after="0" w:line="240" w:lineRule="auto"/>
                    <w:contextualSpacing/>
                    <w:jc w:val="center"/>
                    <w:rPr>
                      <w:b/>
                      <w:bCs/>
                      <w:noProof/>
                    </w:rPr>
                  </w:pPr>
                  <w:r w:rsidRPr="008B13D7">
                    <w:rPr>
                      <w:b/>
                      <w:bCs/>
                      <w:noProof/>
                    </w:rPr>
                    <w:t>School</w:t>
                  </w:r>
                </w:p>
                <w:p w14:paraId="5EE737B6"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41" w:type="dxa"/>
                  <w:shd w:val="clear" w:color="auto" w:fill="C1F0C7" w:themeFill="accent3" w:themeFillTint="33"/>
                </w:tcPr>
                <w:p w14:paraId="67511E40" w14:textId="77777777" w:rsidR="00F30391" w:rsidRPr="008B13D7" w:rsidRDefault="00F30391" w:rsidP="008B13D7">
                  <w:pPr>
                    <w:spacing w:after="0" w:line="240" w:lineRule="auto"/>
                    <w:contextualSpacing/>
                    <w:jc w:val="center"/>
                    <w:rPr>
                      <w:b/>
                      <w:bCs/>
                      <w:noProof/>
                    </w:rPr>
                  </w:pPr>
                  <w:r w:rsidRPr="008B13D7">
                    <w:rPr>
                      <w:b/>
                      <w:bCs/>
                      <w:noProof/>
                    </w:rPr>
                    <w:t>National</w:t>
                  </w:r>
                </w:p>
                <w:p w14:paraId="2E0274FD"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310" w:type="dxa"/>
                  <w:shd w:val="clear" w:color="auto" w:fill="FAE2D5" w:themeFill="accent2" w:themeFillTint="33"/>
                </w:tcPr>
                <w:p w14:paraId="65601A2F" w14:textId="77777777" w:rsidR="00F30391" w:rsidRDefault="00F30391" w:rsidP="008B13D7">
                  <w:pPr>
                    <w:spacing w:after="0" w:line="240" w:lineRule="auto"/>
                    <w:contextualSpacing/>
                    <w:jc w:val="center"/>
                    <w:rPr>
                      <w:b/>
                      <w:bCs/>
                      <w:noProof/>
                    </w:rPr>
                  </w:pPr>
                  <w:r>
                    <w:rPr>
                      <w:b/>
                      <w:bCs/>
                      <w:noProof/>
                    </w:rPr>
                    <w:t>LA</w:t>
                  </w:r>
                </w:p>
                <w:p w14:paraId="6E8ABE00" w14:textId="3EC6D4F4" w:rsidR="00F30391" w:rsidRPr="008B13D7" w:rsidRDefault="00F30391" w:rsidP="008B13D7">
                  <w:pPr>
                    <w:spacing w:after="0" w:line="240" w:lineRule="auto"/>
                    <w:contextualSpacing/>
                    <w:jc w:val="center"/>
                    <w:rPr>
                      <w:b/>
                      <w:bCs/>
                      <w:noProof/>
                    </w:rPr>
                  </w:pPr>
                  <w:r>
                    <w:rPr>
                      <w:b/>
                      <w:bCs/>
                      <w:noProof/>
                    </w:rPr>
                    <w:t>2025</w:t>
                  </w:r>
                </w:p>
              </w:tc>
              <w:tc>
                <w:tcPr>
                  <w:tcW w:w="1310" w:type="dxa"/>
                  <w:shd w:val="clear" w:color="auto" w:fill="C1E4F5" w:themeFill="accent1" w:themeFillTint="33"/>
                </w:tcPr>
                <w:p w14:paraId="2F4ECB6D" w14:textId="06F134FF" w:rsidR="00F30391" w:rsidRPr="008B13D7" w:rsidRDefault="00F30391" w:rsidP="008B13D7">
                  <w:pPr>
                    <w:spacing w:after="0" w:line="240" w:lineRule="auto"/>
                    <w:contextualSpacing/>
                    <w:jc w:val="center"/>
                    <w:rPr>
                      <w:b/>
                      <w:bCs/>
                      <w:noProof/>
                    </w:rPr>
                  </w:pPr>
                  <w:r w:rsidRPr="008B13D7">
                    <w:rPr>
                      <w:b/>
                      <w:bCs/>
                      <w:noProof/>
                    </w:rPr>
                    <w:t>School</w:t>
                  </w:r>
                </w:p>
                <w:p w14:paraId="7CDEF34E"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6" w:type="dxa"/>
                  <w:shd w:val="clear" w:color="auto" w:fill="C1F0C7" w:themeFill="accent3" w:themeFillTint="33"/>
                </w:tcPr>
                <w:p w14:paraId="1028E7F5" w14:textId="77777777" w:rsidR="00F30391" w:rsidRPr="008B13D7" w:rsidRDefault="00F30391" w:rsidP="008B13D7">
                  <w:pPr>
                    <w:spacing w:after="0" w:line="240" w:lineRule="auto"/>
                    <w:contextualSpacing/>
                    <w:jc w:val="center"/>
                    <w:rPr>
                      <w:b/>
                      <w:bCs/>
                      <w:noProof/>
                    </w:rPr>
                  </w:pPr>
                  <w:r w:rsidRPr="008B13D7">
                    <w:rPr>
                      <w:b/>
                      <w:bCs/>
                      <w:noProof/>
                    </w:rPr>
                    <w:t>National</w:t>
                  </w:r>
                </w:p>
                <w:p w14:paraId="0C5755C8" w14:textId="77777777" w:rsidR="00F30391" w:rsidRPr="008B13D7" w:rsidRDefault="00F30391" w:rsidP="008B13D7">
                  <w:pPr>
                    <w:spacing w:after="0" w:line="240" w:lineRule="auto"/>
                    <w:contextualSpacing/>
                    <w:jc w:val="center"/>
                    <w:rPr>
                      <w:b/>
                      <w:bCs/>
                      <w:noProof/>
                    </w:rPr>
                  </w:pPr>
                  <w:r w:rsidRPr="008B13D7">
                    <w:rPr>
                      <w:b/>
                      <w:bCs/>
                      <w:noProof/>
                    </w:rPr>
                    <w:t>2025</w:t>
                  </w:r>
                </w:p>
              </w:tc>
              <w:tc>
                <w:tcPr>
                  <w:tcW w:w="1276" w:type="dxa"/>
                  <w:shd w:val="clear" w:color="auto" w:fill="FAE2D5" w:themeFill="accent2" w:themeFillTint="33"/>
                </w:tcPr>
                <w:p w14:paraId="04D15F6F" w14:textId="77777777" w:rsidR="00F30391" w:rsidRDefault="00F30391" w:rsidP="008B13D7">
                  <w:pPr>
                    <w:spacing w:after="0" w:line="240" w:lineRule="auto"/>
                    <w:contextualSpacing/>
                    <w:jc w:val="center"/>
                    <w:rPr>
                      <w:b/>
                      <w:bCs/>
                      <w:noProof/>
                    </w:rPr>
                  </w:pPr>
                  <w:r>
                    <w:rPr>
                      <w:b/>
                      <w:bCs/>
                      <w:noProof/>
                    </w:rPr>
                    <w:t>LA</w:t>
                  </w:r>
                </w:p>
                <w:p w14:paraId="1E1D8ADD" w14:textId="62D89AC6" w:rsidR="00F30391" w:rsidRPr="008B13D7" w:rsidRDefault="00F30391" w:rsidP="008B13D7">
                  <w:pPr>
                    <w:spacing w:after="0" w:line="240" w:lineRule="auto"/>
                    <w:contextualSpacing/>
                    <w:jc w:val="center"/>
                    <w:rPr>
                      <w:b/>
                      <w:bCs/>
                      <w:noProof/>
                    </w:rPr>
                  </w:pPr>
                  <w:r>
                    <w:rPr>
                      <w:b/>
                      <w:bCs/>
                      <w:noProof/>
                    </w:rPr>
                    <w:t>2025</w:t>
                  </w:r>
                </w:p>
              </w:tc>
            </w:tr>
            <w:tr w:rsidR="00F30391" w:rsidRPr="008B13D7" w14:paraId="1940056C" w14:textId="6E6502D2" w:rsidTr="002138DD">
              <w:trPr>
                <w:trHeight w:val="499"/>
              </w:trPr>
              <w:tc>
                <w:tcPr>
                  <w:tcW w:w="1876" w:type="dxa"/>
                </w:tcPr>
                <w:p w14:paraId="4167A58A" w14:textId="28469B82" w:rsidR="00F30391" w:rsidRPr="008B13D7" w:rsidRDefault="00F30391" w:rsidP="00F30391">
                  <w:pPr>
                    <w:spacing w:after="0" w:line="240" w:lineRule="auto"/>
                    <w:contextualSpacing/>
                    <w:rPr>
                      <w:b/>
                      <w:bCs/>
                      <w:noProof/>
                    </w:rPr>
                  </w:pPr>
                  <w:r w:rsidRPr="008B13D7">
                    <w:rPr>
                      <w:b/>
                      <w:bCs/>
                      <w:noProof/>
                    </w:rPr>
                    <w:t>RWM</w:t>
                  </w:r>
                  <w:r>
                    <w:rPr>
                      <w:b/>
                      <w:bCs/>
                      <w:noProof/>
                    </w:rPr>
                    <w:t xml:space="preserve"> </w:t>
                  </w:r>
                  <w:r w:rsidRPr="008B13D7">
                    <w:rPr>
                      <w:b/>
                      <w:bCs/>
                      <w:noProof/>
                    </w:rPr>
                    <w:t>Combined</w:t>
                  </w:r>
                </w:p>
                <w:p w14:paraId="308763AA" w14:textId="7F64FA1D" w:rsidR="00F30391" w:rsidRPr="008B13D7" w:rsidRDefault="00F30391" w:rsidP="00F30391">
                  <w:pPr>
                    <w:spacing w:after="0" w:line="240" w:lineRule="auto"/>
                    <w:contextualSpacing/>
                    <w:rPr>
                      <w:b/>
                      <w:bCs/>
                      <w:noProof/>
                    </w:rPr>
                  </w:pPr>
                  <w:r w:rsidRPr="008B13D7">
                    <w:rPr>
                      <w:b/>
                      <w:bCs/>
                      <w:noProof/>
                      <w:color w:val="0070C0"/>
                    </w:rPr>
                    <w:t>PP</w:t>
                  </w:r>
                </w:p>
              </w:tc>
              <w:tc>
                <w:tcPr>
                  <w:tcW w:w="1276" w:type="dxa"/>
                </w:tcPr>
                <w:p w14:paraId="1FCCF4C5" w14:textId="77777777" w:rsidR="00F30391" w:rsidRPr="008B13D7" w:rsidRDefault="00F30391" w:rsidP="00F30391">
                  <w:pPr>
                    <w:spacing w:after="0" w:line="240" w:lineRule="auto"/>
                    <w:contextualSpacing/>
                    <w:jc w:val="center"/>
                    <w:rPr>
                      <w:b/>
                      <w:bCs/>
                      <w:noProof/>
                    </w:rPr>
                  </w:pPr>
                  <w:r w:rsidRPr="008B13D7">
                    <w:rPr>
                      <w:b/>
                      <w:bCs/>
                      <w:noProof/>
                    </w:rPr>
                    <w:t>66%</w:t>
                  </w:r>
                </w:p>
                <w:p w14:paraId="550746B3" w14:textId="14D6E42A" w:rsidR="00F30391" w:rsidRPr="008B13D7" w:rsidRDefault="00F30391" w:rsidP="00F30391">
                  <w:pPr>
                    <w:spacing w:after="0" w:line="240" w:lineRule="auto"/>
                    <w:contextualSpacing/>
                    <w:jc w:val="center"/>
                    <w:rPr>
                      <w:b/>
                      <w:bCs/>
                      <w:noProof/>
                    </w:rPr>
                  </w:pPr>
                  <w:r w:rsidRPr="008B13D7">
                    <w:rPr>
                      <w:b/>
                      <w:bCs/>
                      <w:noProof/>
                      <w:color w:val="0070C0"/>
                    </w:rPr>
                    <w:t>60%</w:t>
                  </w:r>
                </w:p>
              </w:tc>
              <w:tc>
                <w:tcPr>
                  <w:tcW w:w="1241" w:type="dxa"/>
                </w:tcPr>
                <w:p w14:paraId="12FBD463" w14:textId="77777777" w:rsidR="00F30391" w:rsidRPr="008B13D7" w:rsidRDefault="00F30391" w:rsidP="00F30391">
                  <w:pPr>
                    <w:spacing w:after="0" w:line="240" w:lineRule="auto"/>
                    <w:contextualSpacing/>
                    <w:jc w:val="center"/>
                    <w:rPr>
                      <w:b/>
                      <w:bCs/>
                      <w:noProof/>
                    </w:rPr>
                  </w:pPr>
                  <w:r w:rsidRPr="008B13D7">
                    <w:rPr>
                      <w:b/>
                      <w:bCs/>
                      <w:noProof/>
                    </w:rPr>
                    <w:t>62%</w:t>
                  </w:r>
                </w:p>
                <w:p w14:paraId="133027FB" w14:textId="620F851F" w:rsidR="00F30391" w:rsidRPr="008B13D7" w:rsidRDefault="00F30391" w:rsidP="00F30391">
                  <w:pPr>
                    <w:spacing w:after="0" w:line="240" w:lineRule="auto"/>
                    <w:contextualSpacing/>
                    <w:jc w:val="center"/>
                    <w:rPr>
                      <w:b/>
                      <w:bCs/>
                      <w:noProof/>
                    </w:rPr>
                  </w:pPr>
                  <w:r w:rsidRPr="008B13D7">
                    <w:rPr>
                      <w:b/>
                      <w:bCs/>
                      <w:noProof/>
                      <w:color w:val="0070C0"/>
                    </w:rPr>
                    <w:t>47%</w:t>
                  </w:r>
                </w:p>
              </w:tc>
              <w:tc>
                <w:tcPr>
                  <w:tcW w:w="1310" w:type="dxa"/>
                </w:tcPr>
                <w:p w14:paraId="4435B260" w14:textId="77777777" w:rsidR="00F30391" w:rsidRDefault="00F30391" w:rsidP="00F30391">
                  <w:pPr>
                    <w:spacing w:after="0" w:line="240" w:lineRule="auto"/>
                    <w:contextualSpacing/>
                    <w:jc w:val="center"/>
                    <w:rPr>
                      <w:b/>
                      <w:bCs/>
                      <w:noProof/>
                    </w:rPr>
                  </w:pPr>
                  <w:r>
                    <w:rPr>
                      <w:b/>
                      <w:bCs/>
                      <w:noProof/>
                    </w:rPr>
                    <w:t>63%</w:t>
                  </w:r>
                </w:p>
                <w:p w14:paraId="567BDC3A" w14:textId="7A4EA4D9" w:rsidR="00F30391" w:rsidRPr="008B13D7" w:rsidRDefault="00F30391" w:rsidP="00F30391">
                  <w:pPr>
                    <w:spacing w:after="0" w:line="240" w:lineRule="auto"/>
                    <w:contextualSpacing/>
                    <w:jc w:val="center"/>
                    <w:rPr>
                      <w:b/>
                      <w:bCs/>
                      <w:noProof/>
                    </w:rPr>
                  </w:pPr>
                  <w:r w:rsidRPr="00F30391">
                    <w:rPr>
                      <w:b/>
                      <w:bCs/>
                      <w:noProof/>
                      <w:color w:val="0070C0"/>
                    </w:rPr>
                    <w:t>50%</w:t>
                  </w:r>
                </w:p>
              </w:tc>
              <w:tc>
                <w:tcPr>
                  <w:tcW w:w="1310" w:type="dxa"/>
                </w:tcPr>
                <w:p w14:paraId="0872E815" w14:textId="5BA7FC03" w:rsidR="00F30391" w:rsidRPr="008B13D7" w:rsidRDefault="00F30391" w:rsidP="00F30391">
                  <w:pPr>
                    <w:spacing w:after="0" w:line="240" w:lineRule="auto"/>
                    <w:contextualSpacing/>
                    <w:jc w:val="center"/>
                    <w:rPr>
                      <w:b/>
                      <w:bCs/>
                      <w:noProof/>
                    </w:rPr>
                  </w:pPr>
                  <w:r w:rsidRPr="008B13D7">
                    <w:rPr>
                      <w:b/>
                      <w:bCs/>
                      <w:noProof/>
                    </w:rPr>
                    <w:t>12%</w:t>
                  </w:r>
                </w:p>
                <w:p w14:paraId="397A91B0" w14:textId="3B3E1DBC" w:rsidR="00F30391" w:rsidRPr="008B13D7" w:rsidRDefault="00F30391" w:rsidP="00F30391">
                  <w:pPr>
                    <w:spacing w:after="0" w:line="240" w:lineRule="auto"/>
                    <w:contextualSpacing/>
                    <w:jc w:val="center"/>
                    <w:rPr>
                      <w:b/>
                      <w:bCs/>
                      <w:noProof/>
                    </w:rPr>
                  </w:pPr>
                  <w:r w:rsidRPr="008B13D7">
                    <w:rPr>
                      <w:b/>
                      <w:bCs/>
                      <w:noProof/>
                      <w:color w:val="0070C0"/>
                    </w:rPr>
                    <w:t>4%</w:t>
                  </w:r>
                </w:p>
              </w:tc>
              <w:tc>
                <w:tcPr>
                  <w:tcW w:w="1276" w:type="dxa"/>
                </w:tcPr>
                <w:p w14:paraId="5907804D" w14:textId="77777777" w:rsidR="00F30391" w:rsidRPr="008B13D7" w:rsidRDefault="00F30391" w:rsidP="00F30391">
                  <w:pPr>
                    <w:spacing w:after="0" w:line="240" w:lineRule="auto"/>
                    <w:contextualSpacing/>
                    <w:jc w:val="center"/>
                    <w:rPr>
                      <w:b/>
                      <w:bCs/>
                      <w:noProof/>
                    </w:rPr>
                  </w:pPr>
                  <w:r w:rsidRPr="008B13D7">
                    <w:rPr>
                      <w:b/>
                      <w:bCs/>
                      <w:noProof/>
                    </w:rPr>
                    <w:t>8%</w:t>
                  </w:r>
                </w:p>
                <w:p w14:paraId="2E33EE0C" w14:textId="2066C4A7" w:rsidR="00F30391" w:rsidRPr="008B13D7" w:rsidRDefault="00033C49" w:rsidP="00F30391">
                  <w:pPr>
                    <w:spacing w:after="0" w:line="240" w:lineRule="auto"/>
                    <w:contextualSpacing/>
                    <w:jc w:val="center"/>
                    <w:rPr>
                      <w:b/>
                      <w:bCs/>
                      <w:noProof/>
                    </w:rPr>
                  </w:pPr>
                  <w:r>
                    <w:rPr>
                      <w:b/>
                      <w:bCs/>
                      <w:noProof/>
                      <w:color w:val="0070C0"/>
                    </w:rPr>
                    <w:t>4</w:t>
                  </w:r>
                  <w:r w:rsidR="00F30391" w:rsidRPr="008B13D7">
                    <w:rPr>
                      <w:b/>
                      <w:bCs/>
                      <w:noProof/>
                      <w:color w:val="0070C0"/>
                    </w:rPr>
                    <w:t>%</w:t>
                  </w:r>
                </w:p>
              </w:tc>
              <w:tc>
                <w:tcPr>
                  <w:tcW w:w="1276" w:type="dxa"/>
                </w:tcPr>
                <w:p w14:paraId="0C9BDCE2" w14:textId="77777777" w:rsidR="00F30391" w:rsidRDefault="00F30391" w:rsidP="00F30391">
                  <w:pPr>
                    <w:spacing w:after="0" w:line="240" w:lineRule="auto"/>
                    <w:contextualSpacing/>
                    <w:jc w:val="center"/>
                    <w:rPr>
                      <w:b/>
                      <w:bCs/>
                      <w:noProof/>
                    </w:rPr>
                  </w:pPr>
                  <w:r>
                    <w:rPr>
                      <w:b/>
                      <w:bCs/>
                      <w:noProof/>
                    </w:rPr>
                    <w:t>8%</w:t>
                  </w:r>
                </w:p>
                <w:p w14:paraId="342A1785" w14:textId="054955AE" w:rsidR="00F30391" w:rsidRPr="008B13D7" w:rsidRDefault="00033C49" w:rsidP="00F30391">
                  <w:pPr>
                    <w:spacing w:after="0" w:line="240" w:lineRule="auto"/>
                    <w:contextualSpacing/>
                    <w:jc w:val="center"/>
                    <w:rPr>
                      <w:b/>
                      <w:bCs/>
                      <w:noProof/>
                    </w:rPr>
                  </w:pPr>
                  <w:r>
                    <w:rPr>
                      <w:b/>
                      <w:bCs/>
                      <w:noProof/>
                      <w:color w:val="0070C0"/>
                    </w:rPr>
                    <w:t>4</w:t>
                  </w:r>
                  <w:r w:rsidR="00F30391" w:rsidRPr="00F30391">
                    <w:rPr>
                      <w:b/>
                      <w:bCs/>
                      <w:noProof/>
                      <w:color w:val="0070C0"/>
                    </w:rPr>
                    <w:t>%</w:t>
                  </w:r>
                </w:p>
              </w:tc>
            </w:tr>
            <w:tr w:rsidR="00F30391" w:rsidRPr="008B13D7" w14:paraId="139139EA" w14:textId="4DD50C14" w:rsidTr="002138DD">
              <w:trPr>
                <w:trHeight w:val="499"/>
              </w:trPr>
              <w:tc>
                <w:tcPr>
                  <w:tcW w:w="1876" w:type="dxa"/>
                </w:tcPr>
                <w:p w14:paraId="67612102" w14:textId="77777777" w:rsidR="00F30391" w:rsidRPr="008B13D7" w:rsidRDefault="00F30391" w:rsidP="00F30391">
                  <w:pPr>
                    <w:spacing w:after="0" w:line="240" w:lineRule="auto"/>
                    <w:contextualSpacing/>
                    <w:rPr>
                      <w:b/>
                      <w:bCs/>
                      <w:noProof/>
                    </w:rPr>
                  </w:pPr>
                  <w:r w:rsidRPr="008B13D7">
                    <w:rPr>
                      <w:b/>
                      <w:bCs/>
                      <w:noProof/>
                    </w:rPr>
                    <w:t>Reading</w:t>
                  </w:r>
                </w:p>
                <w:p w14:paraId="143C3FD1" w14:textId="1309F0BB" w:rsidR="00F30391" w:rsidRPr="008B13D7" w:rsidRDefault="00F30391" w:rsidP="00F30391">
                  <w:pPr>
                    <w:spacing w:after="0" w:line="240" w:lineRule="auto"/>
                    <w:contextualSpacing/>
                    <w:rPr>
                      <w:b/>
                      <w:bCs/>
                      <w:noProof/>
                      <w:color w:val="0070C0"/>
                    </w:rPr>
                  </w:pPr>
                  <w:r w:rsidRPr="008B13D7">
                    <w:rPr>
                      <w:b/>
                      <w:bCs/>
                      <w:noProof/>
                      <w:color w:val="0070C0"/>
                    </w:rPr>
                    <w:t>PP</w:t>
                  </w:r>
                </w:p>
              </w:tc>
              <w:tc>
                <w:tcPr>
                  <w:tcW w:w="1276" w:type="dxa"/>
                </w:tcPr>
                <w:p w14:paraId="6668F297" w14:textId="77777777" w:rsidR="00F30391" w:rsidRPr="008B13D7" w:rsidRDefault="00F30391" w:rsidP="00F30391">
                  <w:pPr>
                    <w:spacing w:after="0" w:line="240" w:lineRule="auto"/>
                    <w:contextualSpacing/>
                    <w:jc w:val="center"/>
                    <w:rPr>
                      <w:b/>
                      <w:bCs/>
                      <w:noProof/>
                    </w:rPr>
                  </w:pPr>
                  <w:r w:rsidRPr="008B13D7">
                    <w:rPr>
                      <w:b/>
                      <w:bCs/>
                      <w:noProof/>
                    </w:rPr>
                    <w:t>73%</w:t>
                  </w:r>
                </w:p>
                <w:p w14:paraId="632F7780" w14:textId="77777777" w:rsidR="00F30391" w:rsidRPr="008B13D7" w:rsidRDefault="00F30391" w:rsidP="00F30391">
                  <w:pPr>
                    <w:spacing w:after="0" w:line="240" w:lineRule="auto"/>
                    <w:contextualSpacing/>
                    <w:jc w:val="center"/>
                    <w:rPr>
                      <w:b/>
                      <w:bCs/>
                      <w:noProof/>
                    </w:rPr>
                  </w:pPr>
                  <w:r w:rsidRPr="008B13D7">
                    <w:rPr>
                      <w:b/>
                      <w:bCs/>
                      <w:noProof/>
                      <w:color w:val="0070C0"/>
                    </w:rPr>
                    <w:t>64%</w:t>
                  </w:r>
                </w:p>
              </w:tc>
              <w:tc>
                <w:tcPr>
                  <w:tcW w:w="1241" w:type="dxa"/>
                </w:tcPr>
                <w:p w14:paraId="2F0851E0" w14:textId="77777777" w:rsidR="00F30391" w:rsidRPr="008B13D7" w:rsidRDefault="00F30391" w:rsidP="00F30391">
                  <w:pPr>
                    <w:spacing w:after="0" w:line="240" w:lineRule="auto"/>
                    <w:contextualSpacing/>
                    <w:jc w:val="center"/>
                    <w:rPr>
                      <w:b/>
                      <w:bCs/>
                      <w:noProof/>
                    </w:rPr>
                  </w:pPr>
                  <w:r w:rsidRPr="008B13D7">
                    <w:rPr>
                      <w:b/>
                      <w:bCs/>
                      <w:noProof/>
                    </w:rPr>
                    <w:t>75%</w:t>
                  </w:r>
                </w:p>
                <w:p w14:paraId="6D39D930" w14:textId="77777777" w:rsidR="00F30391" w:rsidRPr="008B13D7" w:rsidRDefault="00F30391" w:rsidP="00F30391">
                  <w:pPr>
                    <w:spacing w:after="0" w:line="240" w:lineRule="auto"/>
                    <w:contextualSpacing/>
                    <w:jc w:val="center"/>
                    <w:rPr>
                      <w:b/>
                      <w:bCs/>
                      <w:noProof/>
                    </w:rPr>
                  </w:pPr>
                  <w:r w:rsidRPr="008B13D7">
                    <w:rPr>
                      <w:b/>
                      <w:bCs/>
                      <w:noProof/>
                      <w:color w:val="0070C0"/>
                    </w:rPr>
                    <w:t>63%</w:t>
                  </w:r>
                </w:p>
              </w:tc>
              <w:tc>
                <w:tcPr>
                  <w:tcW w:w="1310" w:type="dxa"/>
                </w:tcPr>
                <w:p w14:paraId="32AED877" w14:textId="7884EFB2" w:rsidR="00F30391" w:rsidRDefault="00F30391" w:rsidP="00F30391">
                  <w:pPr>
                    <w:spacing w:after="0" w:line="240" w:lineRule="auto"/>
                    <w:contextualSpacing/>
                    <w:jc w:val="center"/>
                    <w:rPr>
                      <w:b/>
                      <w:bCs/>
                      <w:noProof/>
                    </w:rPr>
                  </w:pPr>
                  <w:r>
                    <w:rPr>
                      <w:b/>
                      <w:bCs/>
                      <w:noProof/>
                    </w:rPr>
                    <w:t>7</w:t>
                  </w:r>
                  <w:r w:rsidR="00744079">
                    <w:rPr>
                      <w:b/>
                      <w:bCs/>
                      <w:noProof/>
                    </w:rPr>
                    <w:t>4</w:t>
                  </w:r>
                  <w:r>
                    <w:rPr>
                      <w:b/>
                      <w:bCs/>
                      <w:noProof/>
                    </w:rPr>
                    <w:t>%</w:t>
                  </w:r>
                </w:p>
                <w:p w14:paraId="1FE5C8EF" w14:textId="42211E3F" w:rsidR="00F30391" w:rsidRPr="008B13D7" w:rsidRDefault="00F30391" w:rsidP="00F30391">
                  <w:pPr>
                    <w:spacing w:after="0" w:line="240" w:lineRule="auto"/>
                    <w:contextualSpacing/>
                    <w:jc w:val="center"/>
                    <w:rPr>
                      <w:b/>
                      <w:bCs/>
                      <w:noProof/>
                    </w:rPr>
                  </w:pPr>
                  <w:r w:rsidRPr="00F30391">
                    <w:rPr>
                      <w:b/>
                      <w:bCs/>
                      <w:noProof/>
                      <w:color w:val="0070C0"/>
                    </w:rPr>
                    <w:t>63%</w:t>
                  </w:r>
                </w:p>
              </w:tc>
              <w:tc>
                <w:tcPr>
                  <w:tcW w:w="1310" w:type="dxa"/>
                </w:tcPr>
                <w:p w14:paraId="5F4DE5F8" w14:textId="68BC6E71" w:rsidR="00F30391" w:rsidRPr="008B13D7" w:rsidRDefault="00F30391" w:rsidP="00F30391">
                  <w:pPr>
                    <w:spacing w:after="0" w:line="240" w:lineRule="auto"/>
                    <w:contextualSpacing/>
                    <w:jc w:val="center"/>
                    <w:rPr>
                      <w:b/>
                      <w:bCs/>
                      <w:noProof/>
                    </w:rPr>
                  </w:pPr>
                  <w:r w:rsidRPr="008B13D7">
                    <w:rPr>
                      <w:b/>
                      <w:bCs/>
                      <w:noProof/>
                    </w:rPr>
                    <w:t>36%</w:t>
                  </w:r>
                </w:p>
                <w:p w14:paraId="4A7C4BB6" w14:textId="77777777" w:rsidR="00F30391" w:rsidRPr="008B13D7" w:rsidRDefault="00F30391" w:rsidP="00F30391">
                  <w:pPr>
                    <w:spacing w:after="0" w:line="240" w:lineRule="auto"/>
                    <w:contextualSpacing/>
                    <w:jc w:val="center"/>
                    <w:rPr>
                      <w:b/>
                      <w:bCs/>
                      <w:noProof/>
                    </w:rPr>
                  </w:pPr>
                  <w:r w:rsidRPr="008B13D7">
                    <w:rPr>
                      <w:b/>
                      <w:bCs/>
                      <w:noProof/>
                      <w:color w:val="0070C0"/>
                    </w:rPr>
                    <w:t>36%</w:t>
                  </w:r>
                </w:p>
              </w:tc>
              <w:tc>
                <w:tcPr>
                  <w:tcW w:w="1276" w:type="dxa"/>
                </w:tcPr>
                <w:p w14:paraId="1D715F2F" w14:textId="77777777" w:rsidR="00F30391" w:rsidRPr="008B13D7" w:rsidRDefault="00F30391" w:rsidP="00F30391">
                  <w:pPr>
                    <w:spacing w:after="0" w:line="240" w:lineRule="auto"/>
                    <w:contextualSpacing/>
                    <w:jc w:val="center"/>
                    <w:rPr>
                      <w:b/>
                      <w:bCs/>
                      <w:noProof/>
                    </w:rPr>
                  </w:pPr>
                  <w:r w:rsidRPr="008B13D7">
                    <w:rPr>
                      <w:b/>
                      <w:bCs/>
                      <w:noProof/>
                    </w:rPr>
                    <w:t>33%</w:t>
                  </w:r>
                </w:p>
                <w:p w14:paraId="215D4E4A" w14:textId="77777777" w:rsidR="00F30391" w:rsidRPr="008B13D7" w:rsidRDefault="00F30391" w:rsidP="00F30391">
                  <w:pPr>
                    <w:spacing w:after="0" w:line="240" w:lineRule="auto"/>
                    <w:contextualSpacing/>
                    <w:jc w:val="center"/>
                    <w:rPr>
                      <w:b/>
                      <w:bCs/>
                      <w:noProof/>
                    </w:rPr>
                  </w:pPr>
                  <w:r w:rsidRPr="008B13D7">
                    <w:rPr>
                      <w:b/>
                      <w:bCs/>
                      <w:noProof/>
                      <w:color w:val="0070C0"/>
                    </w:rPr>
                    <w:t>21%</w:t>
                  </w:r>
                </w:p>
              </w:tc>
              <w:tc>
                <w:tcPr>
                  <w:tcW w:w="1276" w:type="dxa"/>
                </w:tcPr>
                <w:p w14:paraId="03EB0FA8" w14:textId="7788CCB3" w:rsidR="00F30391" w:rsidRDefault="00D415DB" w:rsidP="00F30391">
                  <w:pPr>
                    <w:spacing w:after="0" w:line="240" w:lineRule="auto"/>
                    <w:contextualSpacing/>
                    <w:jc w:val="center"/>
                    <w:rPr>
                      <w:b/>
                      <w:bCs/>
                      <w:noProof/>
                    </w:rPr>
                  </w:pPr>
                  <w:r>
                    <w:rPr>
                      <w:b/>
                      <w:bCs/>
                      <w:noProof/>
                    </w:rPr>
                    <w:t>31</w:t>
                  </w:r>
                  <w:r w:rsidR="00F30391">
                    <w:rPr>
                      <w:b/>
                      <w:bCs/>
                      <w:noProof/>
                    </w:rPr>
                    <w:t>%</w:t>
                  </w:r>
                </w:p>
                <w:p w14:paraId="013D2F0A" w14:textId="4DFB56BB" w:rsidR="00F30391" w:rsidRPr="008B13D7" w:rsidRDefault="00F30391" w:rsidP="00F30391">
                  <w:pPr>
                    <w:spacing w:after="0" w:line="240" w:lineRule="auto"/>
                    <w:contextualSpacing/>
                    <w:jc w:val="center"/>
                    <w:rPr>
                      <w:b/>
                      <w:bCs/>
                      <w:noProof/>
                    </w:rPr>
                  </w:pPr>
                  <w:r w:rsidRPr="00F30391">
                    <w:rPr>
                      <w:b/>
                      <w:bCs/>
                      <w:noProof/>
                      <w:color w:val="0070C0"/>
                    </w:rPr>
                    <w:t>21%</w:t>
                  </w:r>
                </w:p>
              </w:tc>
            </w:tr>
            <w:tr w:rsidR="00F30391" w:rsidRPr="008B13D7" w14:paraId="4B154A7E" w14:textId="234248F5" w:rsidTr="002138DD">
              <w:trPr>
                <w:trHeight w:val="499"/>
              </w:trPr>
              <w:tc>
                <w:tcPr>
                  <w:tcW w:w="1876" w:type="dxa"/>
                </w:tcPr>
                <w:p w14:paraId="374575CD" w14:textId="77777777" w:rsidR="00F30391" w:rsidRPr="008B13D7" w:rsidRDefault="00F30391" w:rsidP="00F30391">
                  <w:pPr>
                    <w:spacing w:after="0" w:line="240" w:lineRule="auto"/>
                    <w:contextualSpacing/>
                    <w:rPr>
                      <w:b/>
                      <w:bCs/>
                      <w:noProof/>
                    </w:rPr>
                  </w:pPr>
                  <w:r w:rsidRPr="008B13D7">
                    <w:rPr>
                      <w:b/>
                      <w:bCs/>
                      <w:noProof/>
                    </w:rPr>
                    <w:t>Writing</w:t>
                  </w:r>
                </w:p>
                <w:p w14:paraId="5E7AE629" w14:textId="22E0542C" w:rsidR="00F30391" w:rsidRPr="008B13D7" w:rsidRDefault="00F30391" w:rsidP="00F30391">
                  <w:pPr>
                    <w:spacing w:after="0" w:line="240" w:lineRule="auto"/>
                    <w:contextualSpacing/>
                    <w:rPr>
                      <w:b/>
                      <w:bCs/>
                      <w:noProof/>
                    </w:rPr>
                  </w:pPr>
                  <w:r w:rsidRPr="008B13D7">
                    <w:rPr>
                      <w:b/>
                      <w:bCs/>
                      <w:noProof/>
                      <w:color w:val="0070C0"/>
                    </w:rPr>
                    <w:t>PP</w:t>
                  </w:r>
                </w:p>
              </w:tc>
              <w:tc>
                <w:tcPr>
                  <w:tcW w:w="1276" w:type="dxa"/>
                </w:tcPr>
                <w:p w14:paraId="692F597C" w14:textId="77777777" w:rsidR="00F30391" w:rsidRPr="008B13D7" w:rsidRDefault="00F30391" w:rsidP="00F30391">
                  <w:pPr>
                    <w:spacing w:after="0" w:line="240" w:lineRule="auto"/>
                    <w:contextualSpacing/>
                    <w:jc w:val="center"/>
                    <w:rPr>
                      <w:b/>
                      <w:bCs/>
                      <w:noProof/>
                    </w:rPr>
                  </w:pPr>
                  <w:r w:rsidRPr="008B13D7">
                    <w:rPr>
                      <w:b/>
                      <w:bCs/>
                      <w:noProof/>
                    </w:rPr>
                    <w:t>66%</w:t>
                  </w:r>
                </w:p>
                <w:p w14:paraId="2BDC9414" w14:textId="5888C7EE" w:rsidR="00F30391" w:rsidRPr="008B13D7" w:rsidRDefault="00F30391" w:rsidP="00F30391">
                  <w:pPr>
                    <w:spacing w:after="0" w:line="240" w:lineRule="auto"/>
                    <w:contextualSpacing/>
                    <w:jc w:val="center"/>
                    <w:rPr>
                      <w:b/>
                      <w:bCs/>
                      <w:noProof/>
                    </w:rPr>
                  </w:pPr>
                  <w:r w:rsidRPr="008B13D7">
                    <w:rPr>
                      <w:b/>
                      <w:bCs/>
                      <w:noProof/>
                      <w:color w:val="0070C0"/>
                    </w:rPr>
                    <w:t>60%</w:t>
                  </w:r>
                </w:p>
              </w:tc>
              <w:tc>
                <w:tcPr>
                  <w:tcW w:w="1241" w:type="dxa"/>
                </w:tcPr>
                <w:p w14:paraId="126AE628" w14:textId="77777777" w:rsidR="00F30391" w:rsidRPr="008B13D7" w:rsidRDefault="00F30391" w:rsidP="00F30391">
                  <w:pPr>
                    <w:spacing w:after="0" w:line="240" w:lineRule="auto"/>
                    <w:contextualSpacing/>
                    <w:jc w:val="center"/>
                    <w:rPr>
                      <w:b/>
                      <w:bCs/>
                      <w:noProof/>
                    </w:rPr>
                  </w:pPr>
                  <w:r w:rsidRPr="008B13D7">
                    <w:rPr>
                      <w:b/>
                      <w:bCs/>
                      <w:noProof/>
                    </w:rPr>
                    <w:t>72%</w:t>
                  </w:r>
                </w:p>
                <w:p w14:paraId="48298D4B" w14:textId="2A0C4734" w:rsidR="00F30391" w:rsidRPr="008B13D7" w:rsidRDefault="00F30391" w:rsidP="00F30391">
                  <w:pPr>
                    <w:spacing w:after="0" w:line="240" w:lineRule="auto"/>
                    <w:contextualSpacing/>
                    <w:jc w:val="center"/>
                    <w:rPr>
                      <w:b/>
                      <w:bCs/>
                      <w:noProof/>
                    </w:rPr>
                  </w:pPr>
                  <w:r w:rsidRPr="008B13D7">
                    <w:rPr>
                      <w:b/>
                      <w:bCs/>
                      <w:noProof/>
                      <w:color w:val="0070C0"/>
                    </w:rPr>
                    <w:t>59%</w:t>
                  </w:r>
                </w:p>
              </w:tc>
              <w:tc>
                <w:tcPr>
                  <w:tcW w:w="1310" w:type="dxa"/>
                </w:tcPr>
                <w:p w14:paraId="66F7E4A4" w14:textId="7B59B32C" w:rsidR="00F30391" w:rsidRDefault="00BE4123" w:rsidP="00F30391">
                  <w:pPr>
                    <w:spacing w:after="0" w:line="240" w:lineRule="auto"/>
                    <w:contextualSpacing/>
                    <w:jc w:val="center"/>
                    <w:rPr>
                      <w:b/>
                      <w:bCs/>
                      <w:noProof/>
                    </w:rPr>
                  </w:pPr>
                  <w:r>
                    <w:rPr>
                      <w:b/>
                      <w:bCs/>
                      <w:noProof/>
                    </w:rPr>
                    <w:t>7</w:t>
                  </w:r>
                  <w:r w:rsidR="00744079">
                    <w:rPr>
                      <w:b/>
                      <w:bCs/>
                      <w:noProof/>
                    </w:rPr>
                    <w:t>3</w:t>
                  </w:r>
                  <w:r w:rsidR="00AF698A">
                    <w:rPr>
                      <w:b/>
                      <w:bCs/>
                      <w:noProof/>
                    </w:rPr>
                    <w:t>%</w:t>
                  </w:r>
                </w:p>
                <w:p w14:paraId="181D2F3E" w14:textId="5F7F8448" w:rsidR="00AF698A" w:rsidRPr="008B13D7" w:rsidRDefault="00BE4123" w:rsidP="00AF698A">
                  <w:pPr>
                    <w:spacing w:after="0" w:line="240" w:lineRule="auto"/>
                    <w:contextualSpacing/>
                    <w:jc w:val="center"/>
                    <w:rPr>
                      <w:b/>
                      <w:bCs/>
                      <w:noProof/>
                    </w:rPr>
                  </w:pPr>
                  <w:r w:rsidRPr="00E84FEE">
                    <w:rPr>
                      <w:b/>
                      <w:bCs/>
                      <w:noProof/>
                      <w:color w:val="0070C0"/>
                    </w:rPr>
                    <w:t>62%</w:t>
                  </w:r>
                </w:p>
              </w:tc>
              <w:tc>
                <w:tcPr>
                  <w:tcW w:w="1310" w:type="dxa"/>
                </w:tcPr>
                <w:p w14:paraId="341451FC" w14:textId="4D5A312B" w:rsidR="00F30391" w:rsidRPr="008B13D7" w:rsidRDefault="00F30391" w:rsidP="00F30391">
                  <w:pPr>
                    <w:spacing w:after="0" w:line="240" w:lineRule="auto"/>
                    <w:contextualSpacing/>
                    <w:jc w:val="center"/>
                    <w:rPr>
                      <w:b/>
                      <w:bCs/>
                      <w:noProof/>
                    </w:rPr>
                  </w:pPr>
                  <w:r w:rsidRPr="008B13D7">
                    <w:rPr>
                      <w:b/>
                      <w:bCs/>
                      <w:noProof/>
                    </w:rPr>
                    <w:t>15%</w:t>
                  </w:r>
                </w:p>
                <w:p w14:paraId="7D1E61C4" w14:textId="0A99FDF4" w:rsidR="00F30391" w:rsidRPr="008B13D7" w:rsidRDefault="00F30391" w:rsidP="00F30391">
                  <w:pPr>
                    <w:spacing w:after="0" w:line="240" w:lineRule="auto"/>
                    <w:contextualSpacing/>
                    <w:jc w:val="center"/>
                    <w:rPr>
                      <w:b/>
                      <w:bCs/>
                      <w:noProof/>
                    </w:rPr>
                  </w:pPr>
                  <w:r w:rsidRPr="008B13D7">
                    <w:rPr>
                      <w:b/>
                      <w:bCs/>
                      <w:noProof/>
                      <w:color w:val="0070C0"/>
                    </w:rPr>
                    <w:t>4%</w:t>
                  </w:r>
                </w:p>
              </w:tc>
              <w:tc>
                <w:tcPr>
                  <w:tcW w:w="1276" w:type="dxa"/>
                </w:tcPr>
                <w:p w14:paraId="50B01F1B" w14:textId="77777777" w:rsidR="00F30391" w:rsidRPr="008B13D7" w:rsidRDefault="00F30391" w:rsidP="00F30391">
                  <w:pPr>
                    <w:spacing w:after="0" w:line="240" w:lineRule="auto"/>
                    <w:contextualSpacing/>
                    <w:jc w:val="center"/>
                    <w:rPr>
                      <w:b/>
                      <w:bCs/>
                      <w:noProof/>
                    </w:rPr>
                  </w:pPr>
                  <w:r w:rsidRPr="008B13D7">
                    <w:rPr>
                      <w:b/>
                      <w:bCs/>
                      <w:noProof/>
                    </w:rPr>
                    <w:t>13%</w:t>
                  </w:r>
                </w:p>
                <w:p w14:paraId="11998F25" w14:textId="0FA621C2" w:rsidR="00F30391" w:rsidRPr="008B13D7" w:rsidRDefault="00F30391" w:rsidP="00F30391">
                  <w:pPr>
                    <w:spacing w:after="0" w:line="240" w:lineRule="auto"/>
                    <w:contextualSpacing/>
                    <w:jc w:val="center"/>
                    <w:rPr>
                      <w:b/>
                      <w:bCs/>
                      <w:noProof/>
                    </w:rPr>
                  </w:pPr>
                  <w:r w:rsidRPr="008B13D7">
                    <w:rPr>
                      <w:b/>
                      <w:bCs/>
                      <w:noProof/>
                      <w:color w:val="0070C0"/>
                    </w:rPr>
                    <w:t>7%</w:t>
                  </w:r>
                </w:p>
              </w:tc>
              <w:tc>
                <w:tcPr>
                  <w:tcW w:w="1276" w:type="dxa"/>
                </w:tcPr>
                <w:p w14:paraId="1E282736" w14:textId="3E54C18A" w:rsidR="00F30391" w:rsidRDefault="00D415DB" w:rsidP="00F30391">
                  <w:pPr>
                    <w:spacing w:after="0" w:line="240" w:lineRule="auto"/>
                    <w:contextualSpacing/>
                    <w:jc w:val="center"/>
                    <w:rPr>
                      <w:b/>
                      <w:bCs/>
                      <w:noProof/>
                    </w:rPr>
                  </w:pPr>
                  <w:r>
                    <w:rPr>
                      <w:b/>
                      <w:bCs/>
                      <w:noProof/>
                    </w:rPr>
                    <w:t>13</w:t>
                  </w:r>
                  <w:r w:rsidR="00AF698A">
                    <w:rPr>
                      <w:b/>
                      <w:bCs/>
                      <w:noProof/>
                    </w:rPr>
                    <w:t>%</w:t>
                  </w:r>
                </w:p>
                <w:p w14:paraId="40F5ACEE" w14:textId="515C86A2" w:rsidR="00AF698A" w:rsidRPr="008B13D7" w:rsidRDefault="00AC11A0" w:rsidP="00F30391">
                  <w:pPr>
                    <w:spacing w:after="0" w:line="240" w:lineRule="auto"/>
                    <w:contextualSpacing/>
                    <w:jc w:val="center"/>
                    <w:rPr>
                      <w:b/>
                      <w:bCs/>
                      <w:noProof/>
                    </w:rPr>
                  </w:pPr>
                  <w:r w:rsidRPr="00AC11A0">
                    <w:rPr>
                      <w:b/>
                      <w:bCs/>
                      <w:noProof/>
                      <w:color w:val="0070C0"/>
                    </w:rPr>
                    <w:t>6%</w:t>
                  </w:r>
                </w:p>
              </w:tc>
            </w:tr>
            <w:tr w:rsidR="00F30391" w:rsidRPr="008B13D7" w14:paraId="552151F3" w14:textId="2BF80835" w:rsidTr="002138DD">
              <w:trPr>
                <w:trHeight w:val="499"/>
              </w:trPr>
              <w:tc>
                <w:tcPr>
                  <w:tcW w:w="1876" w:type="dxa"/>
                </w:tcPr>
                <w:p w14:paraId="378FF5B7" w14:textId="77777777" w:rsidR="00F30391" w:rsidRPr="008B13D7" w:rsidRDefault="00F30391" w:rsidP="00F30391">
                  <w:pPr>
                    <w:spacing w:after="0" w:line="240" w:lineRule="auto"/>
                    <w:contextualSpacing/>
                    <w:rPr>
                      <w:b/>
                      <w:bCs/>
                      <w:noProof/>
                    </w:rPr>
                  </w:pPr>
                  <w:r w:rsidRPr="008B13D7">
                    <w:rPr>
                      <w:b/>
                      <w:bCs/>
                      <w:noProof/>
                    </w:rPr>
                    <w:t>Maths</w:t>
                  </w:r>
                </w:p>
                <w:p w14:paraId="62292273" w14:textId="436C0A9F" w:rsidR="00F30391" w:rsidRPr="008B13D7" w:rsidRDefault="00F30391" w:rsidP="00F30391">
                  <w:pPr>
                    <w:spacing w:after="0" w:line="240" w:lineRule="auto"/>
                    <w:contextualSpacing/>
                    <w:rPr>
                      <w:b/>
                      <w:bCs/>
                      <w:noProof/>
                    </w:rPr>
                  </w:pPr>
                  <w:r w:rsidRPr="008B13D7">
                    <w:rPr>
                      <w:b/>
                      <w:bCs/>
                      <w:noProof/>
                      <w:color w:val="0070C0"/>
                    </w:rPr>
                    <w:t>PP</w:t>
                  </w:r>
                </w:p>
              </w:tc>
              <w:tc>
                <w:tcPr>
                  <w:tcW w:w="1276" w:type="dxa"/>
                </w:tcPr>
                <w:p w14:paraId="236364DB" w14:textId="77777777" w:rsidR="00F30391" w:rsidRPr="008B13D7" w:rsidRDefault="00F30391" w:rsidP="00F30391">
                  <w:pPr>
                    <w:spacing w:after="0" w:line="240" w:lineRule="auto"/>
                    <w:contextualSpacing/>
                    <w:jc w:val="center"/>
                    <w:rPr>
                      <w:b/>
                      <w:bCs/>
                      <w:noProof/>
                      <w:color w:val="auto"/>
                    </w:rPr>
                  </w:pPr>
                  <w:r w:rsidRPr="008B13D7">
                    <w:rPr>
                      <w:b/>
                      <w:bCs/>
                      <w:noProof/>
                      <w:color w:val="auto"/>
                    </w:rPr>
                    <w:t>76%</w:t>
                  </w:r>
                </w:p>
                <w:p w14:paraId="5F1B6F77" w14:textId="3720E1F4" w:rsidR="00F30391" w:rsidRPr="008B13D7" w:rsidRDefault="00F30391" w:rsidP="00F30391">
                  <w:pPr>
                    <w:spacing w:after="0" w:line="240" w:lineRule="auto"/>
                    <w:contextualSpacing/>
                    <w:jc w:val="center"/>
                    <w:rPr>
                      <w:b/>
                      <w:bCs/>
                      <w:noProof/>
                    </w:rPr>
                  </w:pPr>
                  <w:r w:rsidRPr="008B13D7">
                    <w:rPr>
                      <w:b/>
                      <w:bCs/>
                      <w:noProof/>
                      <w:color w:val="0070C0"/>
                    </w:rPr>
                    <w:t>72%</w:t>
                  </w:r>
                </w:p>
              </w:tc>
              <w:tc>
                <w:tcPr>
                  <w:tcW w:w="1241" w:type="dxa"/>
                </w:tcPr>
                <w:p w14:paraId="0389108E" w14:textId="77777777" w:rsidR="00F30391" w:rsidRPr="008B13D7" w:rsidRDefault="00F30391" w:rsidP="00F30391">
                  <w:pPr>
                    <w:spacing w:after="0" w:line="240" w:lineRule="auto"/>
                    <w:contextualSpacing/>
                    <w:jc w:val="center"/>
                    <w:rPr>
                      <w:b/>
                      <w:bCs/>
                      <w:noProof/>
                    </w:rPr>
                  </w:pPr>
                  <w:r w:rsidRPr="008B13D7">
                    <w:rPr>
                      <w:b/>
                      <w:bCs/>
                      <w:noProof/>
                    </w:rPr>
                    <w:t>74%</w:t>
                  </w:r>
                </w:p>
                <w:p w14:paraId="3A901254" w14:textId="4C555DF1" w:rsidR="00F30391" w:rsidRPr="008B13D7" w:rsidRDefault="007B3DD0" w:rsidP="00F30391">
                  <w:pPr>
                    <w:spacing w:after="0" w:line="240" w:lineRule="auto"/>
                    <w:contextualSpacing/>
                    <w:jc w:val="center"/>
                    <w:rPr>
                      <w:b/>
                      <w:bCs/>
                      <w:noProof/>
                    </w:rPr>
                  </w:pPr>
                  <w:r w:rsidRPr="007B3DD0">
                    <w:rPr>
                      <w:b/>
                      <w:bCs/>
                      <w:noProof/>
                      <w:color w:val="0070C0"/>
                    </w:rPr>
                    <w:t>61</w:t>
                  </w:r>
                  <w:r w:rsidR="00F30391" w:rsidRPr="007B3DD0">
                    <w:rPr>
                      <w:b/>
                      <w:bCs/>
                      <w:noProof/>
                      <w:color w:val="0070C0"/>
                    </w:rPr>
                    <w:t>%</w:t>
                  </w:r>
                </w:p>
              </w:tc>
              <w:tc>
                <w:tcPr>
                  <w:tcW w:w="1310" w:type="dxa"/>
                </w:tcPr>
                <w:p w14:paraId="682FBEE1" w14:textId="2F0BE353" w:rsidR="00F30391" w:rsidRPr="002B7A42" w:rsidRDefault="002B7A42" w:rsidP="00F30391">
                  <w:pPr>
                    <w:spacing w:after="0" w:line="240" w:lineRule="auto"/>
                    <w:contextualSpacing/>
                    <w:jc w:val="center"/>
                    <w:rPr>
                      <w:b/>
                      <w:bCs/>
                      <w:noProof/>
                    </w:rPr>
                  </w:pPr>
                  <w:r w:rsidRPr="002B7A42">
                    <w:rPr>
                      <w:b/>
                      <w:bCs/>
                      <w:noProof/>
                    </w:rPr>
                    <w:t>74%</w:t>
                  </w:r>
                </w:p>
                <w:p w14:paraId="41639E49" w14:textId="1CD315D6" w:rsidR="00AF698A" w:rsidRPr="00AF698A" w:rsidRDefault="00FE49F1" w:rsidP="00F30391">
                  <w:pPr>
                    <w:spacing w:after="0" w:line="240" w:lineRule="auto"/>
                    <w:contextualSpacing/>
                    <w:jc w:val="center"/>
                    <w:rPr>
                      <w:b/>
                      <w:bCs/>
                      <w:noProof/>
                      <w:highlight w:val="yellow"/>
                    </w:rPr>
                  </w:pPr>
                  <w:r w:rsidRPr="00FE49F1">
                    <w:rPr>
                      <w:b/>
                      <w:bCs/>
                      <w:noProof/>
                      <w:color w:val="0070C0"/>
                    </w:rPr>
                    <w:t>64</w:t>
                  </w:r>
                  <w:r w:rsidR="00917564" w:rsidRPr="00FE49F1">
                    <w:rPr>
                      <w:b/>
                      <w:bCs/>
                      <w:noProof/>
                      <w:color w:val="0070C0"/>
                    </w:rPr>
                    <w:t>%</w:t>
                  </w:r>
                </w:p>
              </w:tc>
              <w:tc>
                <w:tcPr>
                  <w:tcW w:w="1310" w:type="dxa"/>
                </w:tcPr>
                <w:p w14:paraId="6A44C8E7" w14:textId="32AA113A" w:rsidR="00F30391" w:rsidRPr="008B13D7" w:rsidRDefault="00F30391" w:rsidP="00F30391">
                  <w:pPr>
                    <w:spacing w:after="0" w:line="240" w:lineRule="auto"/>
                    <w:contextualSpacing/>
                    <w:jc w:val="center"/>
                    <w:rPr>
                      <w:b/>
                      <w:bCs/>
                      <w:noProof/>
                    </w:rPr>
                  </w:pPr>
                  <w:r w:rsidRPr="008B13D7">
                    <w:rPr>
                      <w:b/>
                      <w:bCs/>
                      <w:noProof/>
                    </w:rPr>
                    <w:t>37%</w:t>
                  </w:r>
                </w:p>
                <w:p w14:paraId="441C0226" w14:textId="6BDC3AF4" w:rsidR="00F30391" w:rsidRPr="008B13D7" w:rsidRDefault="00F30391" w:rsidP="00F30391">
                  <w:pPr>
                    <w:spacing w:after="0" w:line="240" w:lineRule="auto"/>
                    <w:contextualSpacing/>
                    <w:jc w:val="center"/>
                    <w:rPr>
                      <w:b/>
                      <w:bCs/>
                      <w:noProof/>
                    </w:rPr>
                  </w:pPr>
                  <w:r w:rsidRPr="008B13D7">
                    <w:rPr>
                      <w:b/>
                      <w:bCs/>
                      <w:noProof/>
                      <w:color w:val="0070C0"/>
                    </w:rPr>
                    <w:t>32%</w:t>
                  </w:r>
                </w:p>
              </w:tc>
              <w:tc>
                <w:tcPr>
                  <w:tcW w:w="1276" w:type="dxa"/>
                </w:tcPr>
                <w:p w14:paraId="7ACE9833" w14:textId="77777777" w:rsidR="00F30391" w:rsidRPr="008B13D7" w:rsidRDefault="00F30391" w:rsidP="00F30391">
                  <w:pPr>
                    <w:spacing w:after="0" w:line="240" w:lineRule="auto"/>
                    <w:contextualSpacing/>
                    <w:jc w:val="center"/>
                    <w:rPr>
                      <w:b/>
                      <w:bCs/>
                      <w:noProof/>
                    </w:rPr>
                  </w:pPr>
                  <w:r w:rsidRPr="008B13D7">
                    <w:rPr>
                      <w:b/>
                      <w:bCs/>
                      <w:noProof/>
                    </w:rPr>
                    <w:t>26%</w:t>
                  </w:r>
                </w:p>
                <w:p w14:paraId="018B3949" w14:textId="62B1DC94" w:rsidR="00F30391" w:rsidRPr="008B13D7" w:rsidRDefault="00F30391" w:rsidP="00F30391">
                  <w:pPr>
                    <w:spacing w:after="0" w:line="240" w:lineRule="auto"/>
                    <w:contextualSpacing/>
                    <w:jc w:val="center"/>
                    <w:rPr>
                      <w:b/>
                      <w:bCs/>
                      <w:noProof/>
                    </w:rPr>
                  </w:pPr>
                  <w:r w:rsidRPr="008B13D7">
                    <w:rPr>
                      <w:b/>
                      <w:bCs/>
                      <w:noProof/>
                      <w:color w:val="0070C0"/>
                    </w:rPr>
                    <w:t>15%</w:t>
                  </w:r>
                </w:p>
              </w:tc>
              <w:tc>
                <w:tcPr>
                  <w:tcW w:w="1276" w:type="dxa"/>
                </w:tcPr>
                <w:p w14:paraId="510B112B" w14:textId="1DE89411" w:rsidR="00F30391" w:rsidRPr="004C3664" w:rsidRDefault="00D415DB" w:rsidP="00F30391">
                  <w:pPr>
                    <w:spacing w:after="0" w:line="240" w:lineRule="auto"/>
                    <w:contextualSpacing/>
                    <w:jc w:val="center"/>
                    <w:rPr>
                      <w:b/>
                      <w:bCs/>
                      <w:noProof/>
                    </w:rPr>
                  </w:pPr>
                  <w:r w:rsidRPr="004C3664">
                    <w:rPr>
                      <w:b/>
                      <w:bCs/>
                      <w:noProof/>
                    </w:rPr>
                    <w:t>24%</w:t>
                  </w:r>
                </w:p>
                <w:p w14:paraId="655F9E09" w14:textId="19039105" w:rsidR="00AF698A" w:rsidRPr="00AF698A" w:rsidRDefault="00025D82" w:rsidP="00F30391">
                  <w:pPr>
                    <w:spacing w:after="0" w:line="240" w:lineRule="auto"/>
                    <w:contextualSpacing/>
                    <w:jc w:val="center"/>
                    <w:rPr>
                      <w:b/>
                      <w:bCs/>
                      <w:noProof/>
                      <w:highlight w:val="yellow"/>
                    </w:rPr>
                  </w:pPr>
                  <w:r w:rsidRPr="00025D82">
                    <w:rPr>
                      <w:b/>
                      <w:bCs/>
                      <w:noProof/>
                      <w:color w:val="0070C0"/>
                    </w:rPr>
                    <w:t>15%</w:t>
                  </w:r>
                </w:p>
              </w:tc>
            </w:tr>
            <w:tr w:rsidR="00F30391" w:rsidRPr="008B13D7" w14:paraId="424421C0" w14:textId="203EB5BC" w:rsidTr="002138DD">
              <w:trPr>
                <w:trHeight w:val="499"/>
              </w:trPr>
              <w:tc>
                <w:tcPr>
                  <w:tcW w:w="1876" w:type="dxa"/>
                </w:tcPr>
                <w:p w14:paraId="489FEB48" w14:textId="77777777" w:rsidR="00F30391" w:rsidRPr="008B13D7" w:rsidRDefault="00F30391" w:rsidP="00F30391">
                  <w:pPr>
                    <w:spacing w:after="0" w:line="240" w:lineRule="auto"/>
                    <w:contextualSpacing/>
                    <w:rPr>
                      <w:b/>
                      <w:bCs/>
                      <w:noProof/>
                    </w:rPr>
                  </w:pPr>
                  <w:r w:rsidRPr="008B13D7">
                    <w:rPr>
                      <w:b/>
                      <w:bCs/>
                      <w:noProof/>
                    </w:rPr>
                    <w:t>SPaG</w:t>
                  </w:r>
                </w:p>
                <w:p w14:paraId="55ED491B" w14:textId="61D8561A" w:rsidR="00F30391" w:rsidRPr="008B13D7" w:rsidRDefault="00F30391" w:rsidP="00F30391">
                  <w:pPr>
                    <w:spacing w:after="0" w:line="240" w:lineRule="auto"/>
                    <w:contextualSpacing/>
                    <w:rPr>
                      <w:b/>
                      <w:bCs/>
                      <w:noProof/>
                    </w:rPr>
                  </w:pPr>
                  <w:r w:rsidRPr="008B13D7">
                    <w:rPr>
                      <w:b/>
                      <w:bCs/>
                      <w:noProof/>
                      <w:color w:val="0070C0"/>
                    </w:rPr>
                    <w:t>PP</w:t>
                  </w:r>
                </w:p>
              </w:tc>
              <w:tc>
                <w:tcPr>
                  <w:tcW w:w="1276" w:type="dxa"/>
                </w:tcPr>
                <w:p w14:paraId="62BE8324" w14:textId="77777777" w:rsidR="00F30391" w:rsidRPr="008B13D7" w:rsidRDefault="00F30391" w:rsidP="00F30391">
                  <w:pPr>
                    <w:spacing w:after="0" w:line="240" w:lineRule="auto"/>
                    <w:contextualSpacing/>
                    <w:jc w:val="center"/>
                    <w:rPr>
                      <w:b/>
                      <w:bCs/>
                      <w:noProof/>
                      <w:color w:val="auto"/>
                    </w:rPr>
                  </w:pPr>
                  <w:r w:rsidRPr="008B13D7">
                    <w:rPr>
                      <w:b/>
                      <w:bCs/>
                      <w:noProof/>
                      <w:color w:val="auto"/>
                    </w:rPr>
                    <w:t>68%</w:t>
                  </w:r>
                </w:p>
                <w:p w14:paraId="0B1A640F" w14:textId="41B9D9BD" w:rsidR="00F30391" w:rsidRPr="008B13D7" w:rsidRDefault="00F30391" w:rsidP="00F30391">
                  <w:pPr>
                    <w:spacing w:after="0" w:line="240" w:lineRule="auto"/>
                    <w:contextualSpacing/>
                    <w:jc w:val="center"/>
                    <w:rPr>
                      <w:b/>
                      <w:bCs/>
                      <w:noProof/>
                      <w:color w:val="auto"/>
                    </w:rPr>
                  </w:pPr>
                  <w:r w:rsidRPr="008B13D7">
                    <w:rPr>
                      <w:b/>
                      <w:bCs/>
                      <w:noProof/>
                      <w:color w:val="0070C0"/>
                    </w:rPr>
                    <w:t>60%</w:t>
                  </w:r>
                </w:p>
              </w:tc>
              <w:tc>
                <w:tcPr>
                  <w:tcW w:w="1241" w:type="dxa"/>
                </w:tcPr>
                <w:p w14:paraId="11E30373" w14:textId="77777777" w:rsidR="00F30391" w:rsidRPr="008B13D7" w:rsidRDefault="00F30391" w:rsidP="00F30391">
                  <w:pPr>
                    <w:spacing w:after="0" w:line="240" w:lineRule="auto"/>
                    <w:contextualSpacing/>
                    <w:jc w:val="center"/>
                    <w:rPr>
                      <w:b/>
                      <w:bCs/>
                      <w:noProof/>
                      <w:color w:val="000000" w:themeColor="text1"/>
                    </w:rPr>
                  </w:pPr>
                  <w:r w:rsidRPr="008B13D7">
                    <w:rPr>
                      <w:b/>
                      <w:bCs/>
                      <w:noProof/>
                      <w:color w:val="000000" w:themeColor="text1"/>
                    </w:rPr>
                    <w:t>73%</w:t>
                  </w:r>
                </w:p>
                <w:p w14:paraId="0E7D3F5C" w14:textId="4D0819CF" w:rsidR="00F30391" w:rsidRPr="008B13D7" w:rsidRDefault="00F30391" w:rsidP="00F30391">
                  <w:pPr>
                    <w:spacing w:after="0" w:line="240" w:lineRule="auto"/>
                    <w:contextualSpacing/>
                    <w:jc w:val="center"/>
                    <w:rPr>
                      <w:b/>
                      <w:bCs/>
                      <w:noProof/>
                    </w:rPr>
                  </w:pPr>
                  <w:r w:rsidRPr="008B13D7">
                    <w:rPr>
                      <w:b/>
                      <w:bCs/>
                      <w:noProof/>
                      <w:color w:val="0070C0"/>
                    </w:rPr>
                    <w:t>60%</w:t>
                  </w:r>
                </w:p>
              </w:tc>
              <w:tc>
                <w:tcPr>
                  <w:tcW w:w="1310" w:type="dxa"/>
                </w:tcPr>
                <w:p w14:paraId="45D96D8A" w14:textId="7F47286A" w:rsidR="00AF698A" w:rsidRPr="00AF698A" w:rsidRDefault="002B7A42" w:rsidP="00AF698A">
                  <w:pPr>
                    <w:spacing w:after="0" w:line="240" w:lineRule="auto"/>
                    <w:contextualSpacing/>
                    <w:jc w:val="center"/>
                    <w:rPr>
                      <w:b/>
                      <w:bCs/>
                      <w:noProof/>
                      <w:highlight w:val="yellow"/>
                    </w:rPr>
                  </w:pPr>
                  <w:r w:rsidRPr="002B7A42">
                    <w:rPr>
                      <w:b/>
                      <w:bCs/>
                      <w:noProof/>
                    </w:rPr>
                    <w:t>74%</w:t>
                  </w:r>
                </w:p>
                <w:p w14:paraId="3DAC8135" w14:textId="6E142E82" w:rsidR="00F30391" w:rsidRPr="00AF698A" w:rsidRDefault="00AB6477" w:rsidP="00AF698A">
                  <w:pPr>
                    <w:spacing w:after="0" w:line="240" w:lineRule="auto"/>
                    <w:contextualSpacing/>
                    <w:jc w:val="center"/>
                    <w:rPr>
                      <w:b/>
                      <w:bCs/>
                      <w:noProof/>
                      <w:highlight w:val="yellow"/>
                    </w:rPr>
                  </w:pPr>
                  <w:r w:rsidRPr="00AB6477">
                    <w:rPr>
                      <w:b/>
                      <w:bCs/>
                      <w:noProof/>
                      <w:color w:val="0070C0"/>
                    </w:rPr>
                    <w:t>63</w:t>
                  </w:r>
                  <w:r w:rsidR="00917564" w:rsidRPr="00AB6477">
                    <w:rPr>
                      <w:b/>
                      <w:bCs/>
                      <w:noProof/>
                      <w:color w:val="0070C0"/>
                    </w:rPr>
                    <w:t>%</w:t>
                  </w:r>
                </w:p>
              </w:tc>
              <w:tc>
                <w:tcPr>
                  <w:tcW w:w="1310" w:type="dxa"/>
                </w:tcPr>
                <w:p w14:paraId="4AD2FB88" w14:textId="25BC238C" w:rsidR="00F30391" w:rsidRPr="008B13D7" w:rsidRDefault="00F30391" w:rsidP="00F30391">
                  <w:pPr>
                    <w:spacing w:after="0" w:line="240" w:lineRule="auto"/>
                    <w:contextualSpacing/>
                    <w:jc w:val="center"/>
                    <w:rPr>
                      <w:b/>
                      <w:bCs/>
                      <w:noProof/>
                    </w:rPr>
                  </w:pPr>
                  <w:r w:rsidRPr="008B13D7">
                    <w:rPr>
                      <w:b/>
                      <w:bCs/>
                      <w:noProof/>
                    </w:rPr>
                    <w:t>32%</w:t>
                  </w:r>
                </w:p>
                <w:p w14:paraId="75F470D4" w14:textId="1B086860" w:rsidR="00F30391" w:rsidRPr="008B13D7" w:rsidRDefault="00F30391" w:rsidP="00F30391">
                  <w:pPr>
                    <w:spacing w:after="0" w:line="240" w:lineRule="auto"/>
                    <w:contextualSpacing/>
                    <w:jc w:val="center"/>
                    <w:rPr>
                      <w:b/>
                      <w:bCs/>
                      <w:noProof/>
                    </w:rPr>
                  </w:pPr>
                  <w:r w:rsidRPr="008B13D7">
                    <w:rPr>
                      <w:b/>
                      <w:bCs/>
                      <w:noProof/>
                      <w:color w:val="0070C0"/>
                    </w:rPr>
                    <w:t>28%</w:t>
                  </w:r>
                </w:p>
              </w:tc>
              <w:tc>
                <w:tcPr>
                  <w:tcW w:w="1276" w:type="dxa"/>
                </w:tcPr>
                <w:p w14:paraId="2C98E7CB" w14:textId="77777777" w:rsidR="00F30391" w:rsidRPr="008B13D7" w:rsidRDefault="00F30391" w:rsidP="00F30391">
                  <w:pPr>
                    <w:spacing w:after="0" w:line="240" w:lineRule="auto"/>
                    <w:contextualSpacing/>
                    <w:jc w:val="center"/>
                    <w:rPr>
                      <w:b/>
                      <w:bCs/>
                      <w:noProof/>
                    </w:rPr>
                  </w:pPr>
                  <w:r w:rsidRPr="008B13D7">
                    <w:rPr>
                      <w:b/>
                      <w:bCs/>
                      <w:noProof/>
                    </w:rPr>
                    <w:t>30%</w:t>
                  </w:r>
                </w:p>
                <w:p w14:paraId="3D996F00" w14:textId="01012414" w:rsidR="00F30391" w:rsidRPr="008B13D7" w:rsidRDefault="00F30391" w:rsidP="00F30391">
                  <w:pPr>
                    <w:spacing w:after="0" w:line="240" w:lineRule="auto"/>
                    <w:contextualSpacing/>
                    <w:jc w:val="center"/>
                    <w:rPr>
                      <w:b/>
                      <w:bCs/>
                      <w:noProof/>
                    </w:rPr>
                  </w:pPr>
                  <w:r w:rsidRPr="008B13D7">
                    <w:rPr>
                      <w:b/>
                      <w:bCs/>
                      <w:noProof/>
                      <w:color w:val="0070C0"/>
                    </w:rPr>
                    <w:t>19%</w:t>
                  </w:r>
                </w:p>
              </w:tc>
              <w:tc>
                <w:tcPr>
                  <w:tcW w:w="1276" w:type="dxa"/>
                </w:tcPr>
                <w:p w14:paraId="210F9CD4" w14:textId="4E37ECF5" w:rsidR="00AF698A" w:rsidRPr="004C3664" w:rsidRDefault="00E67C99" w:rsidP="00AF698A">
                  <w:pPr>
                    <w:spacing w:after="0" w:line="240" w:lineRule="auto"/>
                    <w:contextualSpacing/>
                    <w:jc w:val="center"/>
                    <w:rPr>
                      <w:b/>
                      <w:bCs/>
                      <w:noProof/>
                    </w:rPr>
                  </w:pPr>
                  <w:r w:rsidRPr="004C3664">
                    <w:rPr>
                      <w:b/>
                      <w:bCs/>
                      <w:noProof/>
                    </w:rPr>
                    <w:t>30%</w:t>
                  </w:r>
                </w:p>
                <w:p w14:paraId="20CEA772" w14:textId="02E9CD0E" w:rsidR="00F30391" w:rsidRPr="00AF698A" w:rsidRDefault="004C3664" w:rsidP="00AF698A">
                  <w:pPr>
                    <w:spacing w:after="0" w:line="240" w:lineRule="auto"/>
                    <w:contextualSpacing/>
                    <w:jc w:val="center"/>
                    <w:rPr>
                      <w:b/>
                      <w:bCs/>
                      <w:noProof/>
                      <w:highlight w:val="yellow"/>
                    </w:rPr>
                  </w:pPr>
                  <w:r w:rsidRPr="004C3664">
                    <w:rPr>
                      <w:b/>
                      <w:bCs/>
                      <w:noProof/>
                      <w:color w:val="0070C0"/>
                    </w:rPr>
                    <w:t>20%</w:t>
                  </w:r>
                </w:p>
              </w:tc>
            </w:tr>
          </w:tbl>
          <w:p w14:paraId="5AE2556E" w14:textId="77777777" w:rsidR="008B13D7" w:rsidRPr="008B13D7" w:rsidRDefault="008B13D7" w:rsidP="008B13D7">
            <w:pPr>
              <w:spacing w:after="0" w:line="240" w:lineRule="auto"/>
              <w:contextualSpacing/>
              <w:rPr>
                <w:b/>
                <w:bCs/>
                <w:color w:val="000000"/>
                <w:sz w:val="20"/>
                <w:szCs w:val="20"/>
              </w:rPr>
            </w:pPr>
          </w:p>
          <w:p w14:paraId="37F452D3" w14:textId="77777777" w:rsidR="008B13D7" w:rsidRPr="008B13D7" w:rsidRDefault="008B13D7" w:rsidP="008B13D7">
            <w:pPr>
              <w:spacing w:after="0" w:line="240" w:lineRule="auto"/>
              <w:contextualSpacing/>
              <w:rPr>
                <w:b/>
                <w:bCs/>
                <w:color w:val="000000"/>
                <w:sz w:val="20"/>
                <w:szCs w:val="20"/>
              </w:rPr>
            </w:pPr>
          </w:p>
          <w:p w14:paraId="331A37C7"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Multiplication Check – Yr4</w:t>
            </w:r>
          </w:p>
          <w:p w14:paraId="0FDA9FF1" w14:textId="77777777" w:rsidR="008B13D7" w:rsidRPr="008B13D7" w:rsidRDefault="008B13D7" w:rsidP="008B13D7">
            <w:pPr>
              <w:spacing w:after="0" w:line="240" w:lineRule="auto"/>
              <w:contextualSpacing/>
              <w:rPr>
                <w:b/>
                <w:bCs/>
                <w:color w:val="000000"/>
                <w:sz w:val="20"/>
                <w:szCs w:val="20"/>
                <w:u w:val="single"/>
              </w:rPr>
            </w:pPr>
          </w:p>
          <w:tbl>
            <w:tblPr>
              <w:tblStyle w:val="TableGrid"/>
              <w:tblW w:w="10230" w:type="dxa"/>
              <w:tblLook w:val="04A0" w:firstRow="1" w:lastRow="0" w:firstColumn="1" w:lastColumn="0" w:noHBand="0" w:noVBand="1"/>
            </w:tblPr>
            <w:tblGrid>
              <w:gridCol w:w="739"/>
              <w:gridCol w:w="1041"/>
              <w:gridCol w:w="1149"/>
              <w:gridCol w:w="996"/>
              <w:gridCol w:w="996"/>
              <w:gridCol w:w="1045"/>
              <w:gridCol w:w="995"/>
              <w:gridCol w:w="995"/>
              <w:gridCol w:w="1124"/>
              <w:gridCol w:w="1150"/>
            </w:tblGrid>
            <w:tr w:rsidR="000E22A7" w:rsidRPr="008B13D7" w14:paraId="4F4FDFAE" w14:textId="77777777" w:rsidTr="000E22A7">
              <w:trPr>
                <w:trHeight w:val="631"/>
              </w:trPr>
              <w:tc>
                <w:tcPr>
                  <w:tcW w:w="739" w:type="dxa"/>
                </w:tcPr>
                <w:p w14:paraId="391FE51A" w14:textId="77777777" w:rsidR="000E22A7" w:rsidRDefault="000E22A7" w:rsidP="008B13D7">
                  <w:pPr>
                    <w:spacing w:after="0" w:line="240" w:lineRule="auto"/>
                    <w:contextualSpacing/>
                    <w:jc w:val="center"/>
                    <w:rPr>
                      <w:b/>
                      <w:bCs/>
                      <w:noProof/>
                    </w:rPr>
                  </w:pPr>
                  <w:r w:rsidRPr="008B13D7">
                    <w:rPr>
                      <w:b/>
                      <w:bCs/>
                      <w:noProof/>
                    </w:rPr>
                    <w:t>2025</w:t>
                  </w:r>
                </w:p>
                <w:p w14:paraId="5136A170" w14:textId="7268CA25" w:rsidR="008B13D7" w:rsidRPr="008B13D7" w:rsidRDefault="008B13D7" w:rsidP="008B13D7">
                  <w:pPr>
                    <w:spacing w:after="0" w:line="240" w:lineRule="auto"/>
                    <w:contextualSpacing/>
                    <w:jc w:val="center"/>
                    <w:rPr>
                      <w:noProof/>
                    </w:rPr>
                  </w:pPr>
                  <w:r w:rsidRPr="008B13D7">
                    <w:rPr>
                      <w:noProof/>
                    </w:rPr>
                    <w:t>38</w:t>
                  </w:r>
                </w:p>
              </w:tc>
              <w:tc>
                <w:tcPr>
                  <w:tcW w:w="1041" w:type="dxa"/>
                  <w:shd w:val="clear" w:color="auto" w:fill="C1E4F5" w:themeFill="accent1" w:themeFillTint="33"/>
                </w:tcPr>
                <w:p w14:paraId="37DC2B11" w14:textId="77777777" w:rsidR="008B13D7" w:rsidRPr="008B13D7" w:rsidRDefault="008B13D7" w:rsidP="008B13D7">
                  <w:pPr>
                    <w:spacing w:after="0" w:line="240" w:lineRule="auto"/>
                    <w:contextualSpacing/>
                    <w:jc w:val="center"/>
                    <w:rPr>
                      <w:b/>
                      <w:bCs/>
                      <w:noProof/>
                    </w:rPr>
                  </w:pPr>
                  <w:r w:rsidRPr="008B13D7">
                    <w:rPr>
                      <w:b/>
                      <w:bCs/>
                      <w:noProof/>
                    </w:rPr>
                    <w:t>School 25</w:t>
                  </w:r>
                </w:p>
              </w:tc>
              <w:tc>
                <w:tcPr>
                  <w:tcW w:w="1149" w:type="dxa"/>
                  <w:shd w:val="clear" w:color="auto" w:fill="C1F0C7" w:themeFill="accent3" w:themeFillTint="33"/>
                </w:tcPr>
                <w:p w14:paraId="146CFBCD" w14:textId="77777777" w:rsidR="008B13D7" w:rsidRPr="008B13D7" w:rsidRDefault="008B13D7" w:rsidP="008B13D7">
                  <w:pPr>
                    <w:spacing w:after="0" w:line="240" w:lineRule="auto"/>
                    <w:contextualSpacing/>
                    <w:jc w:val="center"/>
                    <w:rPr>
                      <w:b/>
                      <w:bCs/>
                      <w:noProof/>
                    </w:rPr>
                  </w:pPr>
                  <w:r w:rsidRPr="008B13D7">
                    <w:rPr>
                      <w:b/>
                      <w:bCs/>
                      <w:noProof/>
                    </w:rPr>
                    <w:t>National</w:t>
                  </w:r>
                </w:p>
                <w:p w14:paraId="3404AC08" w14:textId="77777777" w:rsidR="008B13D7" w:rsidRPr="008B13D7" w:rsidRDefault="008B13D7" w:rsidP="008B13D7">
                  <w:pPr>
                    <w:spacing w:after="0" w:line="240" w:lineRule="auto"/>
                    <w:contextualSpacing/>
                    <w:jc w:val="center"/>
                    <w:rPr>
                      <w:b/>
                      <w:bCs/>
                      <w:noProof/>
                    </w:rPr>
                  </w:pPr>
                  <w:r w:rsidRPr="008B13D7">
                    <w:rPr>
                      <w:b/>
                      <w:bCs/>
                      <w:noProof/>
                    </w:rPr>
                    <w:t>25</w:t>
                  </w:r>
                </w:p>
              </w:tc>
              <w:tc>
                <w:tcPr>
                  <w:tcW w:w="996" w:type="dxa"/>
                  <w:shd w:val="clear" w:color="auto" w:fill="C1E4F5" w:themeFill="accent1" w:themeFillTint="33"/>
                </w:tcPr>
                <w:p w14:paraId="32489077" w14:textId="77777777" w:rsidR="008B13D7" w:rsidRPr="008B13D7" w:rsidRDefault="008B13D7" w:rsidP="008B13D7">
                  <w:pPr>
                    <w:spacing w:after="0" w:line="240" w:lineRule="auto"/>
                    <w:contextualSpacing/>
                    <w:jc w:val="center"/>
                    <w:rPr>
                      <w:b/>
                      <w:bCs/>
                      <w:noProof/>
                    </w:rPr>
                  </w:pPr>
                  <w:r w:rsidRPr="008B13D7">
                    <w:rPr>
                      <w:b/>
                      <w:bCs/>
                      <w:noProof/>
                    </w:rPr>
                    <w:t>School</w:t>
                  </w:r>
                </w:p>
                <w:p w14:paraId="24DAEBBD" w14:textId="77777777" w:rsidR="008B13D7" w:rsidRPr="008B13D7" w:rsidRDefault="008B13D7" w:rsidP="008B13D7">
                  <w:pPr>
                    <w:spacing w:after="0" w:line="240" w:lineRule="auto"/>
                    <w:contextualSpacing/>
                    <w:jc w:val="center"/>
                    <w:rPr>
                      <w:b/>
                      <w:bCs/>
                      <w:noProof/>
                    </w:rPr>
                  </w:pPr>
                  <w:r w:rsidRPr="008B13D7">
                    <w:rPr>
                      <w:b/>
                      <w:bCs/>
                      <w:noProof/>
                    </w:rPr>
                    <w:t>24+</w:t>
                  </w:r>
                </w:p>
              </w:tc>
              <w:tc>
                <w:tcPr>
                  <w:tcW w:w="996" w:type="dxa"/>
                  <w:shd w:val="clear" w:color="auto" w:fill="C1E4F5" w:themeFill="accent1" w:themeFillTint="33"/>
                </w:tcPr>
                <w:p w14:paraId="7D928893" w14:textId="77777777" w:rsidR="008B13D7" w:rsidRPr="008B13D7" w:rsidRDefault="008B13D7" w:rsidP="008B13D7">
                  <w:pPr>
                    <w:spacing w:after="0" w:line="240" w:lineRule="auto"/>
                    <w:contextualSpacing/>
                    <w:jc w:val="center"/>
                    <w:rPr>
                      <w:b/>
                      <w:bCs/>
                      <w:noProof/>
                    </w:rPr>
                  </w:pPr>
                  <w:r w:rsidRPr="008B13D7">
                    <w:rPr>
                      <w:b/>
                      <w:bCs/>
                      <w:noProof/>
                    </w:rPr>
                    <w:t>School</w:t>
                  </w:r>
                </w:p>
                <w:p w14:paraId="798E6436" w14:textId="77777777" w:rsidR="008B13D7" w:rsidRPr="008B13D7" w:rsidRDefault="008B13D7" w:rsidP="008B13D7">
                  <w:pPr>
                    <w:spacing w:after="0" w:line="240" w:lineRule="auto"/>
                    <w:contextualSpacing/>
                    <w:jc w:val="center"/>
                    <w:rPr>
                      <w:b/>
                      <w:bCs/>
                      <w:noProof/>
                    </w:rPr>
                  </w:pPr>
                  <w:r w:rsidRPr="008B13D7">
                    <w:rPr>
                      <w:b/>
                      <w:bCs/>
                      <w:noProof/>
                    </w:rPr>
                    <w:t>23+</w:t>
                  </w:r>
                </w:p>
              </w:tc>
              <w:tc>
                <w:tcPr>
                  <w:tcW w:w="1045" w:type="dxa"/>
                  <w:shd w:val="clear" w:color="auto" w:fill="C1E4F5" w:themeFill="accent1" w:themeFillTint="33"/>
                </w:tcPr>
                <w:p w14:paraId="66A772B6" w14:textId="77777777" w:rsidR="008B13D7" w:rsidRPr="008B13D7" w:rsidRDefault="008B13D7" w:rsidP="008B13D7">
                  <w:pPr>
                    <w:spacing w:after="0" w:line="240" w:lineRule="auto"/>
                    <w:contextualSpacing/>
                    <w:jc w:val="center"/>
                    <w:rPr>
                      <w:b/>
                      <w:bCs/>
                      <w:noProof/>
                    </w:rPr>
                  </w:pPr>
                  <w:r w:rsidRPr="008B13D7">
                    <w:rPr>
                      <w:b/>
                      <w:bCs/>
                      <w:noProof/>
                    </w:rPr>
                    <w:t>School</w:t>
                  </w:r>
                </w:p>
                <w:p w14:paraId="40E89D23" w14:textId="77777777" w:rsidR="008B13D7" w:rsidRPr="008B13D7" w:rsidRDefault="008B13D7" w:rsidP="008B13D7">
                  <w:pPr>
                    <w:spacing w:after="0" w:line="240" w:lineRule="auto"/>
                    <w:contextualSpacing/>
                    <w:jc w:val="center"/>
                    <w:rPr>
                      <w:b/>
                      <w:bCs/>
                      <w:noProof/>
                    </w:rPr>
                  </w:pPr>
                  <w:r w:rsidRPr="008B13D7">
                    <w:rPr>
                      <w:b/>
                      <w:bCs/>
                      <w:noProof/>
                    </w:rPr>
                    <w:t>22+</w:t>
                  </w:r>
                </w:p>
              </w:tc>
              <w:tc>
                <w:tcPr>
                  <w:tcW w:w="995" w:type="dxa"/>
                  <w:shd w:val="clear" w:color="auto" w:fill="C1E4F5" w:themeFill="accent1" w:themeFillTint="33"/>
                </w:tcPr>
                <w:p w14:paraId="36E12C92" w14:textId="77777777" w:rsidR="008B13D7" w:rsidRPr="008B13D7" w:rsidRDefault="008B13D7" w:rsidP="008B13D7">
                  <w:pPr>
                    <w:spacing w:after="0" w:line="240" w:lineRule="auto"/>
                    <w:contextualSpacing/>
                    <w:jc w:val="center"/>
                    <w:rPr>
                      <w:b/>
                      <w:bCs/>
                      <w:noProof/>
                    </w:rPr>
                  </w:pPr>
                  <w:r w:rsidRPr="008B13D7">
                    <w:rPr>
                      <w:b/>
                      <w:bCs/>
                      <w:noProof/>
                    </w:rPr>
                    <w:t>School</w:t>
                  </w:r>
                </w:p>
                <w:p w14:paraId="7777A33E" w14:textId="77777777" w:rsidR="008B13D7" w:rsidRPr="008B13D7" w:rsidRDefault="008B13D7" w:rsidP="008B13D7">
                  <w:pPr>
                    <w:spacing w:after="0" w:line="240" w:lineRule="auto"/>
                    <w:contextualSpacing/>
                    <w:jc w:val="center"/>
                    <w:rPr>
                      <w:b/>
                      <w:bCs/>
                      <w:noProof/>
                    </w:rPr>
                  </w:pPr>
                  <w:r w:rsidRPr="008B13D7">
                    <w:rPr>
                      <w:b/>
                      <w:bCs/>
                      <w:noProof/>
                    </w:rPr>
                    <w:t>21+</w:t>
                  </w:r>
                </w:p>
              </w:tc>
              <w:tc>
                <w:tcPr>
                  <w:tcW w:w="995" w:type="dxa"/>
                  <w:shd w:val="clear" w:color="auto" w:fill="C1E4F5" w:themeFill="accent1" w:themeFillTint="33"/>
                </w:tcPr>
                <w:p w14:paraId="43BE894B" w14:textId="77777777" w:rsidR="008B13D7" w:rsidRPr="008B13D7" w:rsidRDefault="008B13D7" w:rsidP="008B13D7">
                  <w:pPr>
                    <w:spacing w:after="0" w:line="240" w:lineRule="auto"/>
                    <w:contextualSpacing/>
                    <w:jc w:val="center"/>
                    <w:rPr>
                      <w:b/>
                      <w:bCs/>
                      <w:noProof/>
                    </w:rPr>
                  </w:pPr>
                  <w:r w:rsidRPr="008B13D7">
                    <w:rPr>
                      <w:b/>
                      <w:bCs/>
                      <w:noProof/>
                    </w:rPr>
                    <w:t>School</w:t>
                  </w:r>
                </w:p>
                <w:p w14:paraId="7FA5E12D" w14:textId="77777777" w:rsidR="008B13D7" w:rsidRPr="008B13D7" w:rsidRDefault="008B13D7" w:rsidP="008B13D7">
                  <w:pPr>
                    <w:spacing w:after="0" w:line="240" w:lineRule="auto"/>
                    <w:contextualSpacing/>
                    <w:jc w:val="center"/>
                    <w:rPr>
                      <w:b/>
                      <w:bCs/>
                      <w:noProof/>
                    </w:rPr>
                  </w:pPr>
                  <w:r w:rsidRPr="008B13D7">
                    <w:rPr>
                      <w:b/>
                      <w:bCs/>
                      <w:noProof/>
                    </w:rPr>
                    <w:t>20+</w:t>
                  </w:r>
                </w:p>
              </w:tc>
              <w:tc>
                <w:tcPr>
                  <w:tcW w:w="1124" w:type="dxa"/>
                  <w:shd w:val="clear" w:color="auto" w:fill="C1E4F5" w:themeFill="accent1" w:themeFillTint="33"/>
                </w:tcPr>
                <w:p w14:paraId="19BC80DF" w14:textId="77777777" w:rsidR="008B13D7" w:rsidRPr="008B13D7" w:rsidRDefault="008B13D7" w:rsidP="008B13D7">
                  <w:pPr>
                    <w:spacing w:after="0" w:line="240" w:lineRule="auto"/>
                    <w:contextualSpacing/>
                    <w:jc w:val="center"/>
                    <w:rPr>
                      <w:b/>
                      <w:bCs/>
                      <w:noProof/>
                    </w:rPr>
                  </w:pPr>
                  <w:r w:rsidRPr="008B13D7">
                    <w:rPr>
                      <w:b/>
                      <w:bCs/>
                      <w:noProof/>
                    </w:rPr>
                    <w:t>School</w:t>
                  </w:r>
                </w:p>
                <w:p w14:paraId="6FA8B8DC" w14:textId="77777777" w:rsidR="008B13D7" w:rsidRPr="008B13D7" w:rsidRDefault="008B13D7" w:rsidP="008B13D7">
                  <w:pPr>
                    <w:spacing w:after="0" w:line="240" w:lineRule="auto"/>
                    <w:contextualSpacing/>
                    <w:jc w:val="center"/>
                    <w:rPr>
                      <w:b/>
                      <w:bCs/>
                      <w:noProof/>
                    </w:rPr>
                  </w:pPr>
                  <w:r w:rsidRPr="008B13D7">
                    <w:rPr>
                      <w:b/>
                      <w:bCs/>
                      <w:noProof/>
                    </w:rPr>
                    <w:t>Average Score</w:t>
                  </w:r>
                </w:p>
              </w:tc>
              <w:tc>
                <w:tcPr>
                  <w:tcW w:w="1150" w:type="dxa"/>
                  <w:shd w:val="clear" w:color="auto" w:fill="C1F0C7" w:themeFill="accent3" w:themeFillTint="33"/>
                </w:tcPr>
                <w:p w14:paraId="36C8C58F" w14:textId="77777777" w:rsidR="008B13D7" w:rsidRPr="008B13D7" w:rsidRDefault="008B13D7" w:rsidP="008B13D7">
                  <w:pPr>
                    <w:spacing w:after="0" w:line="240" w:lineRule="auto"/>
                    <w:contextualSpacing/>
                    <w:jc w:val="center"/>
                    <w:rPr>
                      <w:b/>
                      <w:bCs/>
                      <w:noProof/>
                      <w:color w:val="92D050"/>
                    </w:rPr>
                  </w:pPr>
                  <w:r w:rsidRPr="008B13D7">
                    <w:rPr>
                      <w:b/>
                      <w:bCs/>
                      <w:noProof/>
                    </w:rPr>
                    <w:t>National Average Score</w:t>
                  </w:r>
                </w:p>
              </w:tc>
            </w:tr>
            <w:tr w:rsidR="008B13D7" w:rsidRPr="008B13D7" w14:paraId="335D5F5B" w14:textId="77777777" w:rsidTr="000E22A7">
              <w:trPr>
                <w:trHeight w:val="386"/>
              </w:trPr>
              <w:tc>
                <w:tcPr>
                  <w:tcW w:w="739" w:type="dxa"/>
                </w:tcPr>
                <w:p w14:paraId="66AD2EF1" w14:textId="77777777" w:rsidR="008B13D7" w:rsidRDefault="000E22A7" w:rsidP="008B13D7">
                  <w:pPr>
                    <w:spacing w:after="0" w:line="240" w:lineRule="auto"/>
                    <w:contextualSpacing/>
                    <w:jc w:val="center"/>
                    <w:rPr>
                      <w:b/>
                      <w:bCs/>
                      <w:noProof/>
                    </w:rPr>
                  </w:pPr>
                  <w:r>
                    <w:rPr>
                      <w:b/>
                      <w:bCs/>
                      <w:noProof/>
                    </w:rPr>
                    <w:t>All</w:t>
                  </w:r>
                </w:p>
                <w:p w14:paraId="46450328" w14:textId="0E0B29A5" w:rsidR="000E22A7" w:rsidRPr="008B13D7" w:rsidRDefault="000E22A7" w:rsidP="008B13D7">
                  <w:pPr>
                    <w:spacing w:after="0" w:line="240" w:lineRule="auto"/>
                    <w:contextualSpacing/>
                    <w:jc w:val="center"/>
                    <w:rPr>
                      <w:b/>
                      <w:bCs/>
                      <w:noProof/>
                    </w:rPr>
                  </w:pPr>
                  <w:r w:rsidRPr="000E22A7">
                    <w:rPr>
                      <w:b/>
                      <w:bCs/>
                      <w:noProof/>
                      <w:color w:val="0070C0"/>
                    </w:rPr>
                    <w:t>PP</w:t>
                  </w:r>
                </w:p>
              </w:tc>
              <w:tc>
                <w:tcPr>
                  <w:tcW w:w="1041" w:type="dxa"/>
                </w:tcPr>
                <w:p w14:paraId="6096F36A" w14:textId="77777777" w:rsidR="008B13D7" w:rsidRPr="008B13D7" w:rsidRDefault="008B13D7" w:rsidP="008B13D7">
                  <w:pPr>
                    <w:spacing w:after="0" w:line="240" w:lineRule="auto"/>
                    <w:contextualSpacing/>
                    <w:jc w:val="center"/>
                    <w:rPr>
                      <w:b/>
                      <w:bCs/>
                      <w:noProof/>
                    </w:rPr>
                  </w:pPr>
                  <w:r w:rsidRPr="008B13D7">
                    <w:rPr>
                      <w:b/>
                      <w:bCs/>
                      <w:noProof/>
                    </w:rPr>
                    <w:t>16%</w:t>
                  </w:r>
                </w:p>
                <w:p w14:paraId="1A051A34" w14:textId="77777777" w:rsidR="008B13D7" w:rsidRPr="008B13D7" w:rsidRDefault="008B13D7" w:rsidP="008B13D7">
                  <w:pPr>
                    <w:spacing w:after="0" w:line="240" w:lineRule="auto"/>
                    <w:contextualSpacing/>
                    <w:jc w:val="center"/>
                    <w:rPr>
                      <w:b/>
                      <w:bCs/>
                      <w:noProof/>
                    </w:rPr>
                  </w:pPr>
                  <w:r w:rsidRPr="008B13D7">
                    <w:rPr>
                      <w:b/>
                      <w:bCs/>
                      <w:noProof/>
                      <w:color w:val="0070C0"/>
                    </w:rPr>
                    <w:t>13%</w:t>
                  </w:r>
                </w:p>
              </w:tc>
              <w:tc>
                <w:tcPr>
                  <w:tcW w:w="1149" w:type="dxa"/>
                </w:tcPr>
                <w:p w14:paraId="50CAF78F" w14:textId="77777777" w:rsidR="008B13D7" w:rsidRPr="008B13D7" w:rsidRDefault="008B13D7" w:rsidP="008B13D7">
                  <w:pPr>
                    <w:spacing w:after="0" w:line="240" w:lineRule="auto"/>
                    <w:contextualSpacing/>
                    <w:jc w:val="center"/>
                    <w:rPr>
                      <w:b/>
                      <w:bCs/>
                      <w:noProof/>
                    </w:rPr>
                  </w:pPr>
                  <w:r w:rsidRPr="008B13D7">
                    <w:rPr>
                      <w:b/>
                      <w:bCs/>
                      <w:noProof/>
                    </w:rPr>
                    <w:t>34%</w:t>
                  </w:r>
                </w:p>
              </w:tc>
              <w:tc>
                <w:tcPr>
                  <w:tcW w:w="996" w:type="dxa"/>
                </w:tcPr>
                <w:p w14:paraId="15880B68" w14:textId="77777777" w:rsidR="008B13D7" w:rsidRPr="008B13D7" w:rsidRDefault="008B13D7" w:rsidP="008B13D7">
                  <w:pPr>
                    <w:spacing w:after="0" w:line="240" w:lineRule="auto"/>
                    <w:contextualSpacing/>
                    <w:jc w:val="center"/>
                    <w:rPr>
                      <w:b/>
                      <w:bCs/>
                      <w:noProof/>
                    </w:rPr>
                  </w:pPr>
                  <w:r w:rsidRPr="008B13D7">
                    <w:rPr>
                      <w:b/>
                      <w:bCs/>
                      <w:noProof/>
                    </w:rPr>
                    <w:t>37%</w:t>
                  </w:r>
                </w:p>
                <w:p w14:paraId="1F2A622F" w14:textId="77777777" w:rsidR="008B13D7" w:rsidRPr="008B13D7" w:rsidRDefault="008B13D7" w:rsidP="008B13D7">
                  <w:pPr>
                    <w:spacing w:after="0" w:line="240" w:lineRule="auto"/>
                    <w:contextualSpacing/>
                    <w:jc w:val="center"/>
                    <w:rPr>
                      <w:b/>
                      <w:bCs/>
                      <w:noProof/>
                      <w:color w:val="0070C0"/>
                    </w:rPr>
                  </w:pPr>
                  <w:r w:rsidRPr="008B13D7">
                    <w:rPr>
                      <w:b/>
                      <w:bCs/>
                      <w:noProof/>
                      <w:color w:val="0070C0"/>
                    </w:rPr>
                    <w:t>25%</w:t>
                  </w:r>
                </w:p>
              </w:tc>
              <w:tc>
                <w:tcPr>
                  <w:tcW w:w="996" w:type="dxa"/>
                </w:tcPr>
                <w:p w14:paraId="380570E7" w14:textId="77777777" w:rsidR="008B13D7" w:rsidRPr="008B13D7" w:rsidRDefault="008B13D7" w:rsidP="008B13D7">
                  <w:pPr>
                    <w:spacing w:after="0" w:line="240" w:lineRule="auto"/>
                    <w:contextualSpacing/>
                    <w:jc w:val="center"/>
                    <w:rPr>
                      <w:b/>
                      <w:bCs/>
                      <w:noProof/>
                    </w:rPr>
                  </w:pPr>
                  <w:r w:rsidRPr="008B13D7">
                    <w:rPr>
                      <w:b/>
                      <w:bCs/>
                      <w:noProof/>
                    </w:rPr>
                    <w:t>39%</w:t>
                  </w:r>
                </w:p>
                <w:p w14:paraId="43C920DD" w14:textId="77777777" w:rsidR="008B13D7" w:rsidRPr="008B13D7" w:rsidRDefault="008B13D7" w:rsidP="008B13D7">
                  <w:pPr>
                    <w:spacing w:after="0" w:line="240" w:lineRule="auto"/>
                    <w:contextualSpacing/>
                    <w:jc w:val="center"/>
                    <w:rPr>
                      <w:b/>
                      <w:bCs/>
                      <w:noProof/>
                    </w:rPr>
                  </w:pPr>
                  <w:r w:rsidRPr="008B13D7">
                    <w:rPr>
                      <w:b/>
                      <w:bCs/>
                      <w:noProof/>
                      <w:color w:val="0070C0"/>
                    </w:rPr>
                    <w:t>25%</w:t>
                  </w:r>
                </w:p>
              </w:tc>
              <w:tc>
                <w:tcPr>
                  <w:tcW w:w="1045" w:type="dxa"/>
                </w:tcPr>
                <w:p w14:paraId="15FE9B0D" w14:textId="77777777" w:rsidR="008B13D7" w:rsidRPr="008B13D7" w:rsidRDefault="008B13D7" w:rsidP="008B13D7">
                  <w:pPr>
                    <w:spacing w:after="0" w:line="240" w:lineRule="auto"/>
                    <w:contextualSpacing/>
                    <w:jc w:val="center"/>
                    <w:rPr>
                      <w:b/>
                      <w:bCs/>
                      <w:noProof/>
                    </w:rPr>
                  </w:pPr>
                  <w:r w:rsidRPr="008B13D7">
                    <w:rPr>
                      <w:b/>
                      <w:bCs/>
                      <w:noProof/>
                    </w:rPr>
                    <w:t>53%</w:t>
                  </w:r>
                </w:p>
                <w:p w14:paraId="638EF040" w14:textId="77777777" w:rsidR="008B13D7" w:rsidRPr="008B13D7" w:rsidRDefault="008B13D7" w:rsidP="008B13D7">
                  <w:pPr>
                    <w:spacing w:after="0" w:line="240" w:lineRule="auto"/>
                    <w:contextualSpacing/>
                    <w:jc w:val="center"/>
                    <w:rPr>
                      <w:b/>
                      <w:bCs/>
                      <w:noProof/>
                      <w:color w:val="0070C0"/>
                    </w:rPr>
                  </w:pPr>
                  <w:r w:rsidRPr="008B13D7">
                    <w:rPr>
                      <w:b/>
                      <w:bCs/>
                      <w:noProof/>
                      <w:color w:val="0070C0"/>
                    </w:rPr>
                    <w:t>44%</w:t>
                  </w:r>
                </w:p>
              </w:tc>
              <w:tc>
                <w:tcPr>
                  <w:tcW w:w="995" w:type="dxa"/>
                </w:tcPr>
                <w:p w14:paraId="7DA3BFBB" w14:textId="77777777" w:rsidR="008B13D7" w:rsidRPr="008B13D7" w:rsidRDefault="008B13D7" w:rsidP="008B13D7">
                  <w:pPr>
                    <w:spacing w:after="0" w:line="240" w:lineRule="auto"/>
                    <w:contextualSpacing/>
                    <w:jc w:val="center"/>
                    <w:rPr>
                      <w:b/>
                      <w:bCs/>
                      <w:noProof/>
                    </w:rPr>
                  </w:pPr>
                  <w:r w:rsidRPr="008B13D7">
                    <w:rPr>
                      <w:b/>
                      <w:bCs/>
                      <w:noProof/>
                    </w:rPr>
                    <w:t>55%</w:t>
                  </w:r>
                </w:p>
                <w:p w14:paraId="0DFF6C23" w14:textId="77777777" w:rsidR="008B13D7" w:rsidRPr="008B13D7" w:rsidRDefault="008B13D7" w:rsidP="008B13D7">
                  <w:pPr>
                    <w:spacing w:after="0" w:line="240" w:lineRule="auto"/>
                    <w:contextualSpacing/>
                    <w:jc w:val="center"/>
                    <w:rPr>
                      <w:b/>
                      <w:bCs/>
                      <w:noProof/>
                      <w:color w:val="0070C0"/>
                    </w:rPr>
                  </w:pPr>
                  <w:r w:rsidRPr="008B13D7">
                    <w:rPr>
                      <w:b/>
                      <w:bCs/>
                      <w:noProof/>
                      <w:color w:val="0070C0"/>
                    </w:rPr>
                    <w:t>50%</w:t>
                  </w:r>
                </w:p>
              </w:tc>
              <w:tc>
                <w:tcPr>
                  <w:tcW w:w="995" w:type="dxa"/>
                </w:tcPr>
                <w:p w14:paraId="1AE4304B" w14:textId="77777777" w:rsidR="008B13D7" w:rsidRPr="008B13D7" w:rsidRDefault="008B13D7" w:rsidP="008B13D7">
                  <w:pPr>
                    <w:spacing w:after="0" w:line="240" w:lineRule="auto"/>
                    <w:contextualSpacing/>
                    <w:jc w:val="center"/>
                    <w:rPr>
                      <w:b/>
                      <w:bCs/>
                      <w:noProof/>
                    </w:rPr>
                  </w:pPr>
                  <w:r w:rsidRPr="008B13D7">
                    <w:rPr>
                      <w:b/>
                      <w:bCs/>
                      <w:noProof/>
                    </w:rPr>
                    <w:t>58%</w:t>
                  </w:r>
                </w:p>
                <w:p w14:paraId="3F1D5BDA" w14:textId="77777777" w:rsidR="008B13D7" w:rsidRPr="008B13D7" w:rsidRDefault="008B13D7" w:rsidP="008B13D7">
                  <w:pPr>
                    <w:spacing w:after="0" w:line="240" w:lineRule="auto"/>
                    <w:contextualSpacing/>
                    <w:jc w:val="center"/>
                    <w:rPr>
                      <w:b/>
                      <w:bCs/>
                      <w:noProof/>
                      <w:color w:val="0070C0"/>
                    </w:rPr>
                  </w:pPr>
                  <w:r w:rsidRPr="008B13D7">
                    <w:rPr>
                      <w:b/>
                      <w:bCs/>
                      <w:noProof/>
                      <w:color w:val="0070C0"/>
                    </w:rPr>
                    <w:t>56%</w:t>
                  </w:r>
                </w:p>
              </w:tc>
              <w:tc>
                <w:tcPr>
                  <w:tcW w:w="1124" w:type="dxa"/>
                </w:tcPr>
                <w:p w14:paraId="64599348" w14:textId="77777777" w:rsidR="008B13D7" w:rsidRPr="008B13D7" w:rsidRDefault="008B13D7" w:rsidP="008B13D7">
                  <w:pPr>
                    <w:spacing w:after="0" w:line="240" w:lineRule="auto"/>
                    <w:contextualSpacing/>
                    <w:jc w:val="center"/>
                    <w:rPr>
                      <w:b/>
                      <w:bCs/>
                      <w:noProof/>
                    </w:rPr>
                  </w:pPr>
                  <w:r w:rsidRPr="008B13D7">
                    <w:rPr>
                      <w:b/>
                      <w:bCs/>
                      <w:noProof/>
                    </w:rPr>
                    <w:t>18.4</w:t>
                  </w:r>
                </w:p>
                <w:p w14:paraId="5B74303C" w14:textId="77777777" w:rsidR="008B13D7" w:rsidRPr="008B13D7" w:rsidRDefault="008B13D7" w:rsidP="008B13D7">
                  <w:pPr>
                    <w:spacing w:after="0" w:line="240" w:lineRule="auto"/>
                    <w:contextualSpacing/>
                    <w:jc w:val="center"/>
                    <w:rPr>
                      <w:b/>
                      <w:bCs/>
                      <w:noProof/>
                    </w:rPr>
                  </w:pPr>
                  <w:r w:rsidRPr="008B13D7">
                    <w:rPr>
                      <w:b/>
                      <w:bCs/>
                      <w:noProof/>
                      <w:color w:val="0070C0"/>
                    </w:rPr>
                    <w:t>17.1</w:t>
                  </w:r>
                </w:p>
              </w:tc>
              <w:tc>
                <w:tcPr>
                  <w:tcW w:w="1150" w:type="dxa"/>
                </w:tcPr>
                <w:p w14:paraId="136B4A09" w14:textId="77777777" w:rsidR="008B13D7" w:rsidRPr="008B13D7" w:rsidRDefault="008B13D7" w:rsidP="008B13D7">
                  <w:pPr>
                    <w:spacing w:after="0" w:line="240" w:lineRule="auto"/>
                    <w:contextualSpacing/>
                    <w:jc w:val="center"/>
                    <w:rPr>
                      <w:b/>
                      <w:bCs/>
                      <w:noProof/>
                    </w:rPr>
                  </w:pPr>
                  <w:r w:rsidRPr="008B13D7">
                    <w:rPr>
                      <w:b/>
                      <w:bCs/>
                      <w:noProof/>
                    </w:rPr>
                    <w:t>21.7</w:t>
                  </w:r>
                </w:p>
                <w:p w14:paraId="160405C0" w14:textId="77777777" w:rsidR="008B13D7" w:rsidRPr="008B13D7" w:rsidRDefault="008B13D7" w:rsidP="008B13D7">
                  <w:pPr>
                    <w:spacing w:after="0" w:line="240" w:lineRule="auto"/>
                    <w:contextualSpacing/>
                    <w:jc w:val="center"/>
                    <w:rPr>
                      <w:b/>
                      <w:bCs/>
                      <w:noProof/>
                    </w:rPr>
                  </w:pPr>
                  <w:r w:rsidRPr="008B13D7">
                    <w:rPr>
                      <w:b/>
                      <w:bCs/>
                      <w:noProof/>
                      <w:color w:val="0070C0"/>
                    </w:rPr>
                    <w:t>19.3</w:t>
                  </w:r>
                </w:p>
              </w:tc>
            </w:tr>
          </w:tbl>
          <w:p w14:paraId="20200046" w14:textId="77777777" w:rsidR="008B13D7" w:rsidRPr="008B13D7" w:rsidRDefault="008B13D7" w:rsidP="008B13D7">
            <w:pPr>
              <w:spacing w:after="0" w:line="240" w:lineRule="auto"/>
              <w:contextualSpacing/>
              <w:rPr>
                <w:b/>
                <w:bCs/>
                <w:color w:val="000000"/>
                <w:sz w:val="20"/>
                <w:szCs w:val="20"/>
              </w:rPr>
            </w:pPr>
          </w:p>
          <w:p w14:paraId="06B74B95" w14:textId="77777777" w:rsidR="008B13D7" w:rsidRPr="008B13D7" w:rsidRDefault="008B13D7" w:rsidP="008B13D7">
            <w:pPr>
              <w:spacing w:after="0" w:line="240" w:lineRule="auto"/>
              <w:contextualSpacing/>
              <w:rPr>
                <w:b/>
                <w:bCs/>
                <w:color w:val="000000"/>
                <w:sz w:val="20"/>
                <w:szCs w:val="20"/>
              </w:rPr>
            </w:pPr>
          </w:p>
          <w:p w14:paraId="40DB57EA" w14:textId="2CBEF423" w:rsidR="008B13D7" w:rsidRPr="00F30391" w:rsidRDefault="008B13D7" w:rsidP="00EF2A2C">
            <w:pPr>
              <w:spacing w:after="0" w:line="240" w:lineRule="auto"/>
              <w:contextualSpacing/>
              <w:rPr>
                <w:b/>
                <w:bCs/>
                <w:color w:val="002060"/>
              </w:rPr>
            </w:pPr>
            <w:r w:rsidRPr="00F30391">
              <w:rPr>
                <w:b/>
                <w:bCs/>
                <w:color w:val="002060"/>
              </w:rPr>
              <w:t xml:space="preserve">Education </w:t>
            </w:r>
            <w:r w:rsidR="00F30391">
              <w:rPr>
                <w:b/>
                <w:bCs/>
                <w:color w:val="002060"/>
              </w:rPr>
              <w:t>O</w:t>
            </w:r>
            <w:r w:rsidRPr="00F30391">
              <w:rPr>
                <w:b/>
                <w:bCs/>
                <w:color w:val="002060"/>
              </w:rPr>
              <w:t>utcomes for Pupil Premium Pupils:</w:t>
            </w:r>
          </w:p>
          <w:p w14:paraId="39C87C1B" w14:textId="77777777" w:rsidR="008B13D7" w:rsidRPr="008B13D7" w:rsidRDefault="008B13D7" w:rsidP="00EF2A2C">
            <w:pPr>
              <w:spacing w:after="0" w:line="240" w:lineRule="auto"/>
              <w:contextualSpacing/>
              <w:rPr>
                <w:color w:val="000000"/>
                <w:sz w:val="20"/>
                <w:szCs w:val="20"/>
              </w:rPr>
            </w:pPr>
            <w:r w:rsidRPr="008B13D7">
              <w:rPr>
                <w:color w:val="000000"/>
                <w:sz w:val="20"/>
                <w:szCs w:val="20"/>
              </w:rPr>
              <w:t>We analysed our school's disadvantaged pupils' performance in 24/25 using KS1 and KS2 data, phonics results, and internal assessments.</w:t>
            </w:r>
          </w:p>
          <w:p w14:paraId="3941159B" w14:textId="77777777" w:rsidR="00EF2A2C" w:rsidRDefault="00EF2A2C" w:rsidP="00EF2A2C">
            <w:pPr>
              <w:spacing w:after="0" w:line="240" w:lineRule="auto"/>
              <w:contextualSpacing/>
              <w:rPr>
                <w:color w:val="000000"/>
                <w:sz w:val="20"/>
                <w:szCs w:val="20"/>
              </w:rPr>
            </w:pPr>
          </w:p>
          <w:p w14:paraId="593C1377" w14:textId="33074725" w:rsidR="008B13D7" w:rsidRPr="008B13D7" w:rsidRDefault="008B13D7" w:rsidP="00EF2A2C">
            <w:pPr>
              <w:spacing w:after="0" w:line="240" w:lineRule="auto"/>
              <w:contextualSpacing/>
              <w:rPr>
                <w:color w:val="000000"/>
                <w:sz w:val="20"/>
                <w:szCs w:val="20"/>
              </w:rPr>
            </w:pPr>
            <w:r w:rsidRPr="008B13D7">
              <w:rPr>
                <w:color w:val="000000"/>
                <w:sz w:val="20"/>
                <w:szCs w:val="20"/>
              </w:rPr>
              <w:t>To help us gauge the performance of our disadvantaged pupils we compared their results to those for disadvantaged and non-disadvantaged pupils at national and local level and to results achieved by our non-disadvantaged pupils, though we know that pupils included in the performance data will have had experiences which will have affected individual pupils and schools differently.</w:t>
            </w:r>
          </w:p>
          <w:p w14:paraId="70C3A67A" w14:textId="77777777" w:rsidR="008B13D7" w:rsidRPr="008B13D7" w:rsidRDefault="008B13D7" w:rsidP="00EF2A2C">
            <w:pPr>
              <w:spacing w:after="0" w:line="240" w:lineRule="auto"/>
              <w:ind w:left="720"/>
              <w:contextualSpacing/>
              <w:rPr>
                <w:color w:val="000000"/>
                <w:sz w:val="20"/>
                <w:szCs w:val="20"/>
              </w:rPr>
            </w:pPr>
          </w:p>
          <w:p w14:paraId="1CD685E4" w14:textId="77777777" w:rsidR="008B13D7" w:rsidRDefault="008B13D7" w:rsidP="00EF2A2C">
            <w:pPr>
              <w:spacing w:after="0" w:line="240" w:lineRule="auto"/>
              <w:contextualSpacing/>
              <w:rPr>
                <w:color w:val="000000"/>
                <w:sz w:val="20"/>
                <w:szCs w:val="20"/>
              </w:rPr>
            </w:pPr>
            <w:r w:rsidRPr="008B13D7">
              <w:rPr>
                <w:color w:val="000000"/>
                <w:sz w:val="20"/>
                <w:szCs w:val="20"/>
              </w:rPr>
              <w:t>The data demonstrates that:</w:t>
            </w:r>
          </w:p>
          <w:p w14:paraId="224BF6E9" w14:textId="77777777" w:rsidR="00EF2A2C" w:rsidRDefault="00EF2A2C" w:rsidP="00EF2A2C">
            <w:pPr>
              <w:spacing w:after="0" w:line="240" w:lineRule="auto"/>
              <w:contextualSpacing/>
              <w:rPr>
                <w:color w:val="000000"/>
                <w:sz w:val="20"/>
                <w:szCs w:val="20"/>
                <w:highlight w:val="yellow"/>
              </w:rPr>
            </w:pPr>
          </w:p>
          <w:p w14:paraId="5809C8D2" w14:textId="77777777" w:rsidR="007C55BE" w:rsidRPr="008B13D7" w:rsidRDefault="007C55BE" w:rsidP="00EF2A2C">
            <w:pPr>
              <w:spacing w:after="0" w:line="240" w:lineRule="auto"/>
              <w:contextualSpacing/>
              <w:rPr>
                <w:color w:val="000000"/>
                <w:sz w:val="20"/>
                <w:szCs w:val="20"/>
                <w:highlight w:val="yellow"/>
              </w:rPr>
            </w:pPr>
          </w:p>
          <w:p w14:paraId="6CDB4122" w14:textId="77777777" w:rsidR="008B13D7" w:rsidRPr="008B13D7" w:rsidRDefault="008B13D7" w:rsidP="008B13D7">
            <w:pPr>
              <w:spacing w:after="0" w:line="240" w:lineRule="auto"/>
              <w:rPr>
                <w:b/>
                <w:bCs/>
                <w:color w:val="000000"/>
                <w:sz w:val="20"/>
                <w:szCs w:val="20"/>
                <w:u w:val="single"/>
              </w:rPr>
            </w:pPr>
            <w:r w:rsidRPr="008B13D7">
              <w:rPr>
                <w:b/>
                <w:bCs/>
                <w:color w:val="000000"/>
                <w:sz w:val="20"/>
                <w:szCs w:val="20"/>
                <w:u w:val="single"/>
              </w:rPr>
              <w:lastRenderedPageBreak/>
              <w:t>EYFS</w:t>
            </w:r>
          </w:p>
          <w:p w14:paraId="325EB63B" w14:textId="20F2ED17" w:rsidR="008B13D7" w:rsidRPr="008B13D7" w:rsidRDefault="008B13D7" w:rsidP="00AF698A">
            <w:pPr>
              <w:pStyle w:val="TableRowCentered"/>
              <w:numPr>
                <w:ilvl w:val="0"/>
                <w:numId w:val="8"/>
              </w:numPr>
              <w:spacing w:before="0" w:after="0"/>
              <w:jc w:val="left"/>
              <w:rPr>
                <w:color w:val="auto"/>
                <w:sz w:val="20"/>
              </w:rPr>
            </w:pPr>
            <w:r w:rsidRPr="008B13D7">
              <w:rPr>
                <w:color w:val="auto"/>
                <w:sz w:val="20"/>
              </w:rPr>
              <w:t xml:space="preserve">+13% increase in </w:t>
            </w:r>
            <w:r w:rsidR="00EF2A2C">
              <w:rPr>
                <w:color w:val="auto"/>
                <w:sz w:val="20"/>
              </w:rPr>
              <w:t xml:space="preserve">the </w:t>
            </w:r>
            <w:r w:rsidRPr="008B13D7">
              <w:rPr>
                <w:color w:val="auto"/>
                <w:sz w:val="20"/>
              </w:rPr>
              <w:t>percentage of Reception PPG pupils achieving GLD in 2025 compared to 2024</w:t>
            </w:r>
          </w:p>
          <w:p w14:paraId="7681B917" w14:textId="77777777" w:rsidR="008B13D7" w:rsidRPr="008B13D7" w:rsidRDefault="008B13D7" w:rsidP="008B13D7">
            <w:pPr>
              <w:pStyle w:val="TableRowCentered"/>
              <w:spacing w:before="0" w:after="0"/>
              <w:ind w:left="0"/>
              <w:jc w:val="left"/>
              <w:rPr>
                <w:b/>
                <w:bCs/>
                <w:color w:val="auto"/>
                <w:sz w:val="20"/>
              </w:rPr>
            </w:pPr>
            <w:r w:rsidRPr="008B13D7">
              <w:rPr>
                <w:b/>
                <w:bCs/>
                <w:color w:val="auto"/>
                <w:sz w:val="20"/>
              </w:rPr>
              <w:t>EYFS remains an ongoing area of development</w:t>
            </w:r>
          </w:p>
          <w:p w14:paraId="69A6A861" w14:textId="77777777" w:rsidR="008B13D7" w:rsidRDefault="008B13D7" w:rsidP="008B13D7">
            <w:pPr>
              <w:spacing w:after="0" w:line="240" w:lineRule="auto"/>
              <w:rPr>
                <w:b/>
                <w:bCs/>
                <w:color w:val="000000"/>
                <w:sz w:val="20"/>
                <w:szCs w:val="20"/>
                <w:u w:val="single"/>
              </w:rPr>
            </w:pPr>
          </w:p>
          <w:p w14:paraId="06FAE82A" w14:textId="77777777" w:rsidR="00EF2A2C" w:rsidRPr="008B13D7" w:rsidRDefault="00EF2A2C" w:rsidP="008B13D7">
            <w:pPr>
              <w:spacing w:after="0" w:line="240" w:lineRule="auto"/>
              <w:rPr>
                <w:b/>
                <w:bCs/>
                <w:color w:val="000000"/>
                <w:sz w:val="20"/>
                <w:szCs w:val="20"/>
                <w:u w:val="single"/>
              </w:rPr>
            </w:pPr>
          </w:p>
          <w:p w14:paraId="39968959" w14:textId="77777777" w:rsidR="008B13D7" w:rsidRPr="008B13D7" w:rsidRDefault="008B13D7" w:rsidP="008B13D7">
            <w:pPr>
              <w:spacing w:after="0" w:line="240" w:lineRule="auto"/>
              <w:rPr>
                <w:b/>
                <w:bCs/>
                <w:color w:val="000000"/>
                <w:sz w:val="20"/>
                <w:szCs w:val="20"/>
                <w:u w:val="single"/>
              </w:rPr>
            </w:pPr>
            <w:r w:rsidRPr="008B13D7">
              <w:rPr>
                <w:b/>
                <w:bCs/>
                <w:color w:val="000000"/>
                <w:sz w:val="20"/>
                <w:szCs w:val="20"/>
                <w:u w:val="single"/>
              </w:rPr>
              <w:t>Phonics</w:t>
            </w:r>
          </w:p>
          <w:p w14:paraId="5F1FFBB0" w14:textId="77777777" w:rsidR="008B13D7" w:rsidRPr="008B13D7" w:rsidRDefault="008B13D7" w:rsidP="00AF698A">
            <w:pPr>
              <w:pStyle w:val="TableRowCentered"/>
              <w:numPr>
                <w:ilvl w:val="0"/>
                <w:numId w:val="8"/>
              </w:numPr>
              <w:spacing w:before="0" w:after="0"/>
              <w:jc w:val="left"/>
              <w:rPr>
                <w:color w:val="auto"/>
                <w:sz w:val="20"/>
              </w:rPr>
            </w:pPr>
            <w:r w:rsidRPr="008B13D7">
              <w:rPr>
                <w:color w:val="auto"/>
                <w:sz w:val="20"/>
              </w:rPr>
              <w:t xml:space="preserve">Data from the previous year shows a drop however 2025/2026 leaders have identified areas for development for example using the writing elements of </w:t>
            </w:r>
            <w:proofErr w:type="spellStart"/>
            <w:r w:rsidRPr="008B13D7">
              <w:rPr>
                <w:color w:val="auto"/>
                <w:sz w:val="20"/>
              </w:rPr>
              <w:t>RWInc</w:t>
            </w:r>
            <w:proofErr w:type="spellEnd"/>
            <w:r w:rsidRPr="008B13D7">
              <w:rPr>
                <w:color w:val="auto"/>
                <w:sz w:val="20"/>
              </w:rPr>
              <w:t>, training and 1:1 tutoring and these have all been put in place since September 2025</w:t>
            </w:r>
          </w:p>
          <w:p w14:paraId="69077F67" w14:textId="77777777" w:rsidR="008B13D7" w:rsidRPr="008B13D7" w:rsidRDefault="008B13D7" w:rsidP="00AF698A">
            <w:pPr>
              <w:pStyle w:val="TableRowCentered"/>
              <w:numPr>
                <w:ilvl w:val="0"/>
                <w:numId w:val="8"/>
              </w:numPr>
              <w:spacing w:before="0" w:after="0"/>
              <w:jc w:val="left"/>
              <w:rPr>
                <w:color w:val="auto"/>
                <w:sz w:val="20"/>
              </w:rPr>
            </w:pPr>
            <w:proofErr w:type="spellStart"/>
            <w:r w:rsidRPr="008B13D7">
              <w:rPr>
                <w:color w:val="auto"/>
                <w:sz w:val="20"/>
              </w:rPr>
              <w:t>RWInc</w:t>
            </w:r>
            <w:proofErr w:type="spellEnd"/>
            <w:r w:rsidRPr="008B13D7">
              <w:rPr>
                <w:color w:val="auto"/>
                <w:sz w:val="20"/>
              </w:rPr>
              <w:t xml:space="preserve"> development day identified improvements in consistency and fidelity phonics teaching across KS1 </w:t>
            </w:r>
          </w:p>
          <w:p w14:paraId="5FAF84E8" w14:textId="77777777" w:rsidR="008B13D7" w:rsidRPr="008B13D7" w:rsidRDefault="008B13D7" w:rsidP="00AF698A">
            <w:pPr>
              <w:pStyle w:val="TableRowCentered"/>
              <w:numPr>
                <w:ilvl w:val="0"/>
                <w:numId w:val="8"/>
              </w:numPr>
              <w:spacing w:before="0" w:after="0"/>
              <w:jc w:val="left"/>
              <w:rPr>
                <w:color w:val="auto"/>
                <w:sz w:val="20"/>
              </w:rPr>
            </w:pPr>
            <w:r w:rsidRPr="008B13D7">
              <w:rPr>
                <w:color w:val="auto"/>
                <w:sz w:val="20"/>
              </w:rPr>
              <w:t>Yr1 and Yr2 Book show progress in phonics – moderated by LLE</w:t>
            </w:r>
          </w:p>
          <w:p w14:paraId="7630383A" w14:textId="77777777" w:rsidR="00ED52D9" w:rsidRDefault="00ED52D9" w:rsidP="008B13D7">
            <w:pPr>
              <w:pStyle w:val="TableRowCentered"/>
              <w:spacing w:before="0" w:after="0"/>
              <w:ind w:left="0"/>
              <w:jc w:val="left"/>
              <w:rPr>
                <w:b/>
                <w:bCs/>
                <w:color w:val="auto"/>
                <w:sz w:val="20"/>
              </w:rPr>
            </w:pPr>
          </w:p>
          <w:p w14:paraId="56679A95" w14:textId="77777777" w:rsidR="00ED52D9" w:rsidRPr="00ED52D9" w:rsidRDefault="00ED52D9" w:rsidP="00ED52D9">
            <w:pPr>
              <w:pStyle w:val="TableRowCentered"/>
              <w:spacing w:after="0"/>
              <w:ind w:left="0"/>
              <w:jc w:val="left"/>
              <w:rPr>
                <w:b/>
                <w:bCs/>
                <w:color w:val="auto"/>
                <w:sz w:val="20"/>
              </w:rPr>
            </w:pPr>
            <w:r w:rsidRPr="00ED52D9">
              <w:rPr>
                <w:b/>
                <w:bCs/>
                <w:color w:val="auto"/>
                <w:sz w:val="20"/>
              </w:rPr>
              <w:t xml:space="preserve">Overall attainment: </w:t>
            </w:r>
            <w:r w:rsidRPr="00ED52D9">
              <w:rPr>
                <w:color w:val="auto"/>
                <w:sz w:val="20"/>
              </w:rPr>
              <w:t>Nationally, around 79% of Year 1 pupils met the expected standard in phonics.</w:t>
            </w:r>
          </w:p>
          <w:p w14:paraId="54ECBD8C" w14:textId="77777777" w:rsidR="00ED52D9" w:rsidRDefault="00ED52D9" w:rsidP="00ED52D9">
            <w:pPr>
              <w:pStyle w:val="TableRowCentered"/>
              <w:spacing w:after="0"/>
              <w:ind w:left="0"/>
              <w:jc w:val="left"/>
              <w:rPr>
                <w:b/>
                <w:bCs/>
                <w:color w:val="auto"/>
                <w:sz w:val="20"/>
              </w:rPr>
            </w:pPr>
          </w:p>
          <w:p w14:paraId="5FA23CD1" w14:textId="41FAFDF0" w:rsidR="00ED52D9" w:rsidRPr="00ED52D9" w:rsidRDefault="00ED52D9" w:rsidP="00ED52D9">
            <w:pPr>
              <w:pStyle w:val="TableRowCentered"/>
              <w:spacing w:after="0"/>
              <w:ind w:left="0"/>
              <w:jc w:val="left"/>
              <w:rPr>
                <w:b/>
                <w:bCs/>
                <w:color w:val="auto"/>
                <w:sz w:val="20"/>
              </w:rPr>
            </w:pPr>
            <w:r w:rsidRPr="00ED52D9">
              <w:rPr>
                <w:b/>
                <w:bCs/>
                <w:color w:val="auto"/>
                <w:sz w:val="20"/>
              </w:rPr>
              <w:t xml:space="preserve">Disadvantaged pupils (pupil premium eligible): </w:t>
            </w:r>
            <w:r w:rsidRPr="00ED52D9">
              <w:rPr>
                <w:color w:val="auto"/>
                <w:sz w:val="20"/>
              </w:rPr>
              <w:t>Approximately 65% achieved the expected standard, compared with 83% of non</w:t>
            </w:r>
            <w:r w:rsidRPr="00ED52D9">
              <w:rPr>
                <w:rFonts w:ascii="Cambria Math" w:hAnsi="Cambria Math" w:cs="Cambria Math"/>
                <w:color w:val="auto"/>
                <w:sz w:val="20"/>
              </w:rPr>
              <w:t>‑</w:t>
            </w:r>
            <w:r w:rsidRPr="00ED52D9">
              <w:rPr>
                <w:color w:val="auto"/>
                <w:sz w:val="20"/>
              </w:rPr>
              <w:t>disadvantaged pupils.</w:t>
            </w:r>
          </w:p>
          <w:p w14:paraId="35FCA6B2" w14:textId="77777777" w:rsidR="00ED52D9" w:rsidRDefault="00ED52D9" w:rsidP="00ED52D9">
            <w:pPr>
              <w:pStyle w:val="TableRowCentered"/>
              <w:spacing w:after="0"/>
              <w:ind w:left="0"/>
              <w:jc w:val="left"/>
              <w:rPr>
                <w:b/>
                <w:bCs/>
                <w:color w:val="auto"/>
                <w:sz w:val="20"/>
              </w:rPr>
            </w:pPr>
          </w:p>
          <w:p w14:paraId="6E0403FA" w14:textId="4D865877" w:rsidR="00ED52D9" w:rsidRPr="00ED52D9" w:rsidRDefault="00ED52D9" w:rsidP="00ED52D9">
            <w:pPr>
              <w:pStyle w:val="TableRowCentered"/>
              <w:spacing w:after="0"/>
              <w:ind w:left="0"/>
              <w:jc w:val="left"/>
              <w:rPr>
                <w:color w:val="auto"/>
                <w:sz w:val="20"/>
              </w:rPr>
            </w:pPr>
            <w:r w:rsidRPr="00ED52D9">
              <w:rPr>
                <w:b/>
                <w:bCs/>
                <w:color w:val="auto"/>
                <w:sz w:val="20"/>
              </w:rPr>
              <w:t xml:space="preserve">Gap: </w:t>
            </w:r>
            <w:r w:rsidRPr="00ED52D9">
              <w:rPr>
                <w:color w:val="auto"/>
                <w:sz w:val="20"/>
              </w:rPr>
              <w:t xml:space="preserve">This represents </w:t>
            </w:r>
            <w:proofErr w:type="gramStart"/>
            <w:r w:rsidRPr="00ED52D9">
              <w:rPr>
                <w:color w:val="auto"/>
                <w:sz w:val="20"/>
              </w:rPr>
              <w:t>a</w:t>
            </w:r>
            <w:proofErr w:type="gramEnd"/>
            <w:r w:rsidRPr="00ED52D9">
              <w:rPr>
                <w:color w:val="auto"/>
                <w:sz w:val="20"/>
              </w:rPr>
              <w:t xml:space="preserve"> 18</w:t>
            </w:r>
            <w:r w:rsidRPr="00ED52D9">
              <w:rPr>
                <w:rFonts w:ascii="Cambria Math" w:hAnsi="Cambria Math" w:cs="Cambria Math"/>
                <w:color w:val="auto"/>
                <w:sz w:val="20"/>
              </w:rPr>
              <w:t>‑</w:t>
            </w:r>
            <w:r w:rsidRPr="00ED52D9">
              <w:rPr>
                <w:color w:val="auto"/>
                <w:sz w:val="20"/>
              </w:rPr>
              <w:t>point gap between disadvantaged and non</w:t>
            </w:r>
            <w:r w:rsidRPr="00ED52D9">
              <w:rPr>
                <w:rFonts w:ascii="Cambria Math" w:hAnsi="Cambria Math" w:cs="Cambria Math"/>
                <w:color w:val="auto"/>
                <w:sz w:val="20"/>
              </w:rPr>
              <w:t>‑</w:t>
            </w:r>
            <w:r w:rsidRPr="00ED52D9">
              <w:rPr>
                <w:color w:val="auto"/>
                <w:sz w:val="20"/>
              </w:rPr>
              <w:t>disadvantaged pupils.</w:t>
            </w:r>
          </w:p>
          <w:p w14:paraId="1999F28E" w14:textId="77777777" w:rsidR="00ED52D9" w:rsidRDefault="00ED52D9" w:rsidP="00ED52D9">
            <w:pPr>
              <w:pStyle w:val="TableRowCentered"/>
              <w:spacing w:before="0" w:after="0"/>
              <w:ind w:left="0"/>
              <w:jc w:val="left"/>
              <w:rPr>
                <w:b/>
                <w:bCs/>
                <w:color w:val="auto"/>
                <w:sz w:val="20"/>
              </w:rPr>
            </w:pPr>
          </w:p>
          <w:p w14:paraId="76A28A32" w14:textId="3893CFDC" w:rsidR="00ED52D9" w:rsidRPr="00ED52D9" w:rsidRDefault="00ED52D9" w:rsidP="00ED52D9">
            <w:pPr>
              <w:pStyle w:val="TableRowCentered"/>
              <w:spacing w:before="0" w:after="0"/>
              <w:ind w:left="0"/>
              <w:jc w:val="left"/>
              <w:rPr>
                <w:color w:val="auto"/>
                <w:sz w:val="20"/>
              </w:rPr>
            </w:pPr>
            <w:r w:rsidRPr="00ED52D9">
              <w:rPr>
                <w:b/>
                <w:bCs/>
                <w:color w:val="auto"/>
                <w:sz w:val="20"/>
              </w:rPr>
              <w:t xml:space="preserve">Trend: </w:t>
            </w:r>
            <w:r w:rsidRPr="00ED52D9">
              <w:rPr>
                <w:color w:val="auto"/>
                <w:sz w:val="20"/>
              </w:rPr>
              <w:t>The gap has remained broadly consistent with previous years, though some local authorities show narrowing where early intervention and fidelity to SSP programmes are strongest.</w:t>
            </w:r>
          </w:p>
          <w:p w14:paraId="7677AF1F" w14:textId="77777777" w:rsidR="00ED52D9" w:rsidRDefault="00ED52D9" w:rsidP="00ED52D9">
            <w:pPr>
              <w:pStyle w:val="TableRowCentered"/>
              <w:spacing w:before="0" w:after="0"/>
              <w:ind w:left="0"/>
              <w:jc w:val="left"/>
              <w:rPr>
                <w:b/>
                <w:bCs/>
                <w:color w:val="auto"/>
                <w:sz w:val="20"/>
              </w:rPr>
            </w:pPr>
          </w:p>
          <w:p w14:paraId="287FF324" w14:textId="32D37D38" w:rsidR="00ED52D9" w:rsidRDefault="00ED52D9" w:rsidP="00ED52D9">
            <w:pPr>
              <w:pStyle w:val="TableRowCentered"/>
              <w:spacing w:before="0" w:after="0"/>
              <w:ind w:left="0"/>
              <w:jc w:val="left"/>
              <w:rPr>
                <w:b/>
                <w:bCs/>
                <w:color w:val="auto"/>
                <w:sz w:val="20"/>
              </w:rPr>
            </w:pPr>
            <w:r w:rsidRPr="008B13D7">
              <w:rPr>
                <w:b/>
                <w:bCs/>
                <w:color w:val="auto"/>
                <w:sz w:val="20"/>
              </w:rPr>
              <w:t>Phonics remains an ongoing area of focus</w:t>
            </w:r>
          </w:p>
          <w:p w14:paraId="41395CB9" w14:textId="77777777" w:rsidR="008B13D7" w:rsidRDefault="008B13D7" w:rsidP="008B13D7">
            <w:pPr>
              <w:spacing w:after="0" w:line="240" w:lineRule="auto"/>
              <w:rPr>
                <w:b/>
                <w:bCs/>
                <w:color w:val="000000"/>
                <w:sz w:val="20"/>
                <w:szCs w:val="20"/>
                <w:u w:val="single"/>
              </w:rPr>
            </w:pPr>
          </w:p>
          <w:p w14:paraId="7774CEF2" w14:textId="77777777" w:rsidR="00CE4923" w:rsidRPr="008B13D7" w:rsidRDefault="00CE4923" w:rsidP="008B13D7">
            <w:pPr>
              <w:spacing w:after="0" w:line="240" w:lineRule="auto"/>
              <w:rPr>
                <w:b/>
                <w:bCs/>
                <w:color w:val="000000"/>
                <w:sz w:val="20"/>
                <w:szCs w:val="20"/>
                <w:u w:val="single"/>
              </w:rPr>
            </w:pPr>
          </w:p>
          <w:p w14:paraId="50A6FBC0" w14:textId="77777777" w:rsidR="008B13D7" w:rsidRPr="008B13D7" w:rsidRDefault="008B13D7" w:rsidP="00AF698A">
            <w:pPr>
              <w:spacing w:after="0" w:line="240" w:lineRule="auto"/>
              <w:contextualSpacing/>
              <w:rPr>
                <w:b/>
                <w:bCs/>
                <w:color w:val="000000"/>
                <w:sz w:val="20"/>
                <w:szCs w:val="20"/>
                <w:highlight w:val="yellow"/>
                <w:u w:val="single"/>
              </w:rPr>
            </w:pPr>
            <w:r w:rsidRPr="008B13D7">
              <w:rPr>
                <w:b/>
                <w:bCs/>
                <w:color w:val="000000"/>
                <w:sz w:val="20"/>
                <w:szCs w:val="20"/>
                <w:u w:val="single"/>
              </w:rPr>
              <w:t>KS2 SATs</w:t>
            </w:r>
          </w:p>
          <w:p w14:paraId="3114C6B9"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RWM Combined</w:t>
            </w:r>
          </w:p>
          <w:p w14:paraId="1421E731" w14:textId="6AAE9736" w:rsidR="00AF698A" w:rsidRDefault="00AF698A" w:rsidP="00AF698A">
            <w:pPr>
              <w:pStyle w:val="TableRowCentered"/>
              <w:numPr>
                <w:ilvl w:val="0"/>
                <w:numId w:val="8"/>
              </w:numPr>
              <w:spacing w:before="0" w:after="0"/>
              <w:contextualSpacing/>
              <w:jc w:val="left"/>
              <w:rPr>
                <w:color w:val="auto"/>
                <w:sz w:val="20"/>
              </w:rPr>
            </w:pPr>
            <w:r>
              <w:rPr>
                <w:color w:val="auto"/>
                <w:sz w:val="20"/>
              </w:rPr>
              <w:t>School outcomes for PP pupils in RWM combined ARE were above National and LA PP outcomes in 2025</w:t>
            </w:r>
          </w:p>
          <w:p w14:paraId="3DEBEE83" w14:textId="46EBDF0A" w:rsidR="00AF698A" w:rsidRPr="00AF698A" w:rsidRDefault="00AF698A" w:rsidP="00AF698A">
            <w:pPr>
              <w:pStyle w:val="TableRowCentered"/>
              <w:numPr>
                <w:ilvl w:val="0"/>
                <w:numId w:val="8"/>
              </w:numPr>
              <w:spacing w:before="0" w:after="0"/>
              <w:contextualSpacing/>
              <w:jc w:val="left"/>
              <w:rPr>
                <w:color w:val="auto"/>
                <w:sz w:val="20"/>
              </w:rPr>
            </w:pPr>
            <w:r>
              <w:rPr>
                <w:color w:val="auto"/>
                <w:sz w:val="20"/>
              </w:rPr>
              <w:t>School outcomes for PP pupils in RWM combined GDS were in line with National and LA PP outcomes in 2025</w:t>
            </w:r>
          </w:p>
          <w:p w14:paraId="1875F085" w14:textId="7A174B3F" w:rsidR="00AF698A" w:rsidRPr="00AF698A" w:rsidRDefault="00AF698A" w:rsidP="00AF698A">
            <w:pPr>
              <w:pStyle w:val="TableRowCentered"/>
              <w:numPr>
                <w:ilvl w:val="0"/>
                <w:numId w:val="8"/>
              </w:numPr>
              <w:spacing w:before="0" w:after="0"/>
              <w:contextualSpacing/>
              <w:jc w:val="left"/>
              <w:rPr>
                <w:color w:val="auto"/>
                <w:sz w:val="20"/>
              </w:rPr>
            </w:pPr>
            <w:r w:rsidRPr="008B13D7">
              <w:rPr>
                <w:color w:val="auto"/>
                <w:sz w:val="20"/>
              </w:rPr>
              <w:t xml:space="preserve">Combined outcomes for PP pupils in Yr6 increased </w:t>
            </w:r>
            <w:r w:rsidRPr="00AF698A">
              <w:rPr>
                <w:b/>
                <w:bCs/>
                <w:color w:val="auto"/>
                <w:sz w:val="20"/>
              </w:rPr>
              <w:t>7%</w:t>
            </w:r>
            <w:r w:rsidRPr="008B13D7">
              <w:rPr>
                <w:b/>
                <w:bCs/>
                <w:color w:val="auto"/>
                <w:sz w:val="20"/>
              </w:rPr>
              <w:t xml:space="preserve"> </w:t>
            </w:r>
            <w:r w:rsidRPr="008B13D7">
              <w:rPr>
                <w:color w:val="auto"/>
                <w:sz w:val="20"/>
              </w:rPr>
              <w:t>in SATS 2025 compared to 2024</w:t>
            </w:r>
          </w:p>
          <w:p w14:paraId="1677CDEA" w14:textId="77777777" w:rsidR="008B13D7" w:rsidRPr="008B13D7" w:rsidRDefault="008B13D7" w:rsidP="008B13D7">
            <w:pPr>
              <w:spacing w:after="0" w:line="240" w:lineRule="auto"/>
              <w:contextualSpacing/>
              <w:rPr>
                <w:b/>
                <w:bCs/>
                <w:color w:val="000000"/>
                <w:sz w:val="20"/>
                <w:szCs w:val="20"/>
                <w:u w:val="single"/>
              </w:rPr>
            </w:pPr>
          </w:p>
          <w:p w14:paraId="0D235743"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Reading</w:t>
            </w:r>
          </w:p>
          <w:p w14:paraId="47ADDB4E" w14:textId="1517802E" w:rsidR="00AF698A" w:rsidRDefault="00AF698A" w:rsidP="00AF698A">
            <w:pPr>
              <w:pStyle w:val="TableRowCentered"/>
              <w:numPr>
                <w:ilvl w:val="0"/>
                <w:numId w:val="8"/>
              </w:numPr>
              <w:spacing w:before="0" w:after="0"/>
              <w:contextualSpacing/>
              <w:jc w:val="left"/>
              <w:rPr>
                <w:color w:val="auto"/>
                <w:sz w:val="20"/>
              </w:rPr>
            </w:pPr>
            <w:r>
              <w:rPr>
                <w:color w:val="auto"/>
                <w:sz w:val="20"/>
              </w:rPr>
              <w:t>School outcomes for PP pupils in Reading ARE were above National and LA PP outcomes in 2025</w:t>
            </w:r>
          </w:p>
          <w:p w14:paraId="53AA4F37" w14:textId="419D2094" w:rsidR="00AF698A" w:rsidRPr="00AF698A" w:rsidRDefault="00AF698A" w:rsidP="00AF698A">
            <w:pPr>
              <w:pStyle w:val="TableRowCentered"/>
              <w:numPr>
                <w:ilvl w:val="0"/>
                <w:numId w:val="8"/>
              </w:numPr>
              <w:spacing w:before="0" w:after="0"/>
              <w:contextualSpacing/>
              <w:jc w:val="left"/>
              <w:rPr>
                <w:color w:val="auto"/>
                <w:sz w:val="20"/>
              </w:rPr>
            </w:pPr>
            <w:r>
              <w:rPr>
                <w:color w:val="auto"/>
                <w:sz w:val="20"/>
              </w:rPr>
              <w:t>School outcomes for PP pupils in Reading GDS were above National and LA PP outcomes in 2025</w:t>
            </w:r>
          </w:p>
          <w:p w14:paraId="1FD7633C" w14:textId="6C946C9C" w:rsidR="008B13D7" w:rsidRPr="008B13D7" w:rsidRDefault="008B13D7" w:rsidP="00AF698A">
            <w:pPr>
              <w:pStyle w:val="TableRowCentered"/>
              <w:numPr>
                <w:ilvl w:val="0"/>
                <w:numId w:val="8"/>
              </w:numPr>
              <w:spacing w:before="0" w:after="0"/>
              <w:contextualSpacing/>
              <w:jc w:val="left"/>
              <w:rPr>
                <w:color w:val="auto"/>
                <w:sz w:val="20"/>
              </w:rPr>
            </w:pPr>
            <w:r w:rsidRPr="00AF698A">
              <w:rPr>
                <w:b/>
                <w:bCs/>
                <w:color w:val="auto"/>
                <w:sz w:val="20"/>
              </w:rPr>
              <w:t>+34%</w:t>
            </w:r>
            <w:r w:rsidRPr="008B13D7">
              <w:rPr>
                <w:color w:val="auto"/>
                <w:sz w:val="20"/>
              </w:rPr>
              <w:t xml:space="preserve"> increase in PP pupils achieving ARE in KS2 </w:t>
            </w:r>
            <w:r w:rsidRPr="008B13D7">
              <w:rPr>
                <w:bCs/>
                <w:color w:val="auto"/>
                <w:sz w:val="20"/>
              </w:rPr>
              <w:t>Reading</w:t>
            </w:r>
            <w:r w:rsidRPr="008B13D7">
              <w:rPr>
                <w:color w:val="auto"/>
                <w:sz w:val="20"/>
              </w:rPr>
              <w:t xml:space="preserve"> in 2025 compared with results achieved in 2024.</w:t>
            </w:r>
          </w:p>
          <w:p w14:paraId="2506A9A0" w14:textId="77777777" w:rsidR="008B13D7" w:rsidRPr="008B13D7" w:rsidRDefault="008B13D7" w:rsidP="008B13D7">
            <w:pPr>
              <w:spacing w:after="0" w:line="240" w:lineRule="auto"/>
              <w:contextualSpacing/>
              <w:rPr>
                <w:b/>
                <w:bCs/>
                <w:color w:val="000000"/>
                <w:sz w:val="20"/>
                <w:szCs w:val="20"/>
                <w:u w:val="single"/>
              </w:rPr>
            </w:pPr>
          </w:p>
          <w:p w14:paraId="0BA614C7"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Writing</w:t>
            </w:r>
          </w:p>
          <w:p w14:paraId="22BC898C" w14:textId="6A1D04AD" w:rsidR="00AF698A" w:rsidRPr="00AF698A" w:rsidRDefault="00AF698A" w:rsidP="00AF698A">
            <w:pPr>
              <w:pStyle w:val="TableRowCentered"/>
              <w:numPr>
                <w:ilvl w:val="0"/>
                <w:numId w:val="8"/>
              </w:numPr>
              <w:spacing w:before="0" w:after="0"/>
              <w:contextualSpacing/>
              <w:jc w:val="left"/>
              <w:rPr>
                <w:color w:val="auto"/>
                <w:sz w:val="20"/>
              </w:rPr>
            </w:pPr>
            <w:r>
              <w:rPr>
                <w:color w:val="auto"/>
                <w:sz w:val="20"/>
              </w:rPr>
              <w:t>School outcomes for PP pupils in Writing ARE were in line with National and LA PP outcomes in 2025</w:t>
            </w:r>
          </w:p>
          <w:p w14:paraId="7D77CBDD" w14:textId="71A88C58" w:rsidR="008B13D7" w:rsidRPr="008B13D7" w:rsidRDefault="008B13D7" w:rsidP="00AF698A">
            <w:pPr>
              <w:pStyle w:val="TableRowCentered"/>
              <w:numPr>
                <w:ilvl w:val="0"/>
                <w:numId w:val="8"/>
              </w:numPr>
              <w:spacing w:before="0" w:after="0"/>
              <w:contextualSpacing/>
              <w:jc w:val="left"/>
              <w:rPr>
                <w:color w:val="auto"/>
                <w:sz w:val="20"/>
              </w:rPr>
            </w:pPr>
            <w:r w:rsidRPr="00AF698A">
              <w:rPr>
                <w:b/>
                <w:bCs/>
                <w:color w:val="auto"/>
                <w:sz w:val="20"/>
              </w:rPr>
              <w:t>+7%</w:t>
            </w:r>
            <w:r w:rsidRPr="008B13D7">
              <w:rPr>
                <w:color w:val="auto"/>
                <w:sz w:val="20"/>
              </w:rPr>
              <w:t xml:space="preserve"> increase in PP pupils achieving ARE in KS2 </w:t>
            </w:r>
            <w:r w:rsidRPr="008B13D7">
              <w:rPr>
                <w:bCs/>
                <w:color w:val="auto"/>
                <w:sz w:val="20"/>
              </w:rPr>
              <w:t>Writing</w:t>
            </w:r>
            <w:r w:rsidRPr="008B13D7">
              <w:rPr>
                <w:color w:val="auto"/>
                <w:sz w:val="20"/>
              </w:rPr>
              <w:t xml:space="preserve"> in 2025 compared with results achieved in 2024.</w:t>
            </w:r>
          </w:p>
          <w:p w14:paraId="77D4D89D" w14:textId="75F51A39" w:rsidR="008B13D7" w:rsidRPr="008B13D7" w:rsidRDefault="008B13D7" w:rsidP="00AF698A">
            <w:pPr>
              <w:pStyle w:val="TableRowCentered"/>
              <w:numPr>
                <w:ilvl w:val="0"/>
                <w:numId w:val="8"/>
              </w:numPr>
              <w:spacing w:before="0" w:after="0"/>
              <w:contextualSpacing/>
              <w:jc w:val="left"/>
              <w:rPr>
                <w:color w:val="auto"/>
                <w:sz w:val="20"/>
              </w:rPr>
            </w:pPr>
            <w:r w:rsidRPr="008B13D7">
              <w:rPr>
                <w:color w:val="auto"/>
                <w:sz w:val="20"/>
              </w:rPr>
              <w:t xml:space="preserve">PP/NON-PP gap closed by </w:t>
            </w:r>
            <w:r w:rsidRPr="00AF698A">
              <w:rPr>
                <w:b/>
                <w:bCs/>
                <w:color w:val="auto"/>
                <w:sz w:val="20"/>
              </w:rPr>
              <w:t>11%</w:t>
            </w:r>
            <w:r w:rsidRPr="008B13D7">
              <w:rPr>
                <w:b/>
                <w:bCs/>
                <w:color w:val="auto"/>
                <w:sz w:val="20"/>
              </w:rPr>
              <w:t xml:space="preserve"> </w:t>
            </w:r>
            <w:r w:rsidRPr="008B13D7">
              <w:rPr>
                <w:color w:val="auto"/>
                <w:sz w:val="20"/>
              </w:rPr>
              <w:t>in Writing</w:t>
            </w:r>
          </w:p>
          <w:p w14:paraId="3B86FEA3" w14:textId="77777777" w:rsidR="008B13D7" w:rsidRPr="008B13D7" w:rsidRDefault="008B13D7" w:rsidP="008B13D7">
            <w:pPr>
              <w:spacing w:after="0" w:line="240" w:lineRule="auto"/>
              <w:contextualSpacing/>
              <w:rPr>
                <w:color w:val="000000"/>
                <w:sz w:val="20"/>
                <w:szCs w:val="20"/>
                <w:highlight w:val="yellow"/>
              </w:rPr>
            </w:pPr>
          </w:p>
          <w:p w14:paraId="44E399F1" w14:textId="77777777" w:rsidR="008B13D7" w:rsidRPr="008B13D7" w:rsidRDefault="008B13D7" w:rsidP="008B13D7">
            <w:pPr>
              <w:spacing w:after="0" w:line="240" w:lineRule="auto"/>
              <w:contextualSpacing/>
              <w:rPr>
                <w:b/>
                <w:bCs/>
                <w:color w:val="000000"/>
                <w:sz w:val="20"/>
                <w:szCs w:val="20"/>
                <w:u w:val="single"/>
              </w:rPr>
            </w:pPr>
            <w:r w:rsidRPr="008B13D7">
              <w:rPr>
                <w:b/>
                <w:bCs/>
                <w:color w:val="000000"/>
                <w:sz w:val="20"/>
                <w:szCs w:val="20"/>
                <w:u w:val="single"/>
              </w:rPr>
              <w:t>Maths</w:t>
            </w:r>
          </w:p>
          <w:p w14:paraId="7A487C6F" w14:textId="73D8BA36" w:rsidR="00AF698A" w:rsidRDefault="00AF698A" w:rsidP="00AF698A">
            <w:pPr>
              <w:pStyle w:val="TableRowCentered"/>
              <w:numPr>
                <w:ilvl w:val="0"/>
                <w:numId w:val="8"/>
              </w:numPr>
              <w:spacing w:before="0" w:after="0"/>
              <w:contextualSpacing/>
              <w:jc w:val="left"/>
              <w:rPr>
                <w:color w:val="auto"/>
                <w:sz w:val="20"/>
              </w:rPr>
            </w:pPr>
            <w:r>
              <w:rPr>
                <w:color w:val="auto"/>
                <w:sz w:val="20"/>
              </w:rPr>
              <w:t xml:space="preserve">School outcomes for PP pupils in Maths ARE were above National and </w:t>
            </w:r>
            <w:r w:rsidRPr="00FE49F1">
              <w:rPr>
                <w:color w:val="auto"/>
                <w:sz w:val="20"/>
              </w:rPr>
              <w:t>LA</w:t>
            </w:r>
            <w:r>
              <w:rPr>
                <w:color w:val="auto"/>
                <w:sz w:val="20"/>
              </w:rPr>
              <w:t xml:space="preserve"> PP outcomes in 2025</w:t>
            </w:r>
          </w:p>
          <w:p w14:paraId="4BC5B1F2" w14:textId="5AD129B1" w:rsidR="00AF698A" w:rsidRPr="00AF698A" w:rsidRDefault="00AF698A" w:rsidP="00AF698A">
            <w:pPr>
              <w:pStyle w:val="TableRowCentered"/>
              <w:numPr>
                <w:ilvl w:val="0"/>
                <w:numId w:val="8"/>
              </w:numPr>
              <w:spacing w:before="0" w:after="0"/>
              <w:contextualSpacing/>
              <w:jc w:val="left"/>
              <w:rPr>
                <w:color w:val="auto"/>
                <w:sz w:val="20"/>
              </w:rPr>
            </w:pPr>
            <w:r>
              <w:rPr>
                <w:color w:val="auto"/>
                <w:sz w:val="20"/>
              </w:rPr>
              <w:t xml:space="preserve">School outcomes for PP pupils in Maths GDS were </w:t>
            </w:r>
            <w:r w:rsidR="00EF2A2C" w:rsidRPr="00EF2A2C">
              <w:rPr>
                <w:b/>
                <w:bCs/>
                <w:color w:val="auto"/>
                <w:sz w:val="20"/>
              </w:rPr>
              <w:t>17%</w:t>
            </w:r>
            <w:r w:rsidR="00EF2A2C">
              <w:rPr>
                <w:color w:val="auto"/>
                <w:sz w:val="20"/>
              </w:rPr>
              <w:t xml:space="preserve"> </w:t>
            </w:r>
            <w:r>
              <w:rPr>
                <w:color w:val="auto"/>
                <w:sz w:val="20"/>
              </w:rPr>
              <w:t xml:space="preserve">above National and </w:t>
            </w:r>
            <w:r w:rsidR="00E576EE">
              <w:rPr>
                <w:color w:val="auto"/>
                <w:sz w:val="20"/>
              </w:rPr>
              <w:t xml:space="preserve">above </w:t>
            </w:r>
            <w:r w:rsidR="00E576EE" w:rsidRPr="00E576EE">
              <w:rPr>
                <w:b/>
                <w:bCs/>
                <w:color w:val="auto"/>
                <w:sz w:val="20"/>
              </w:rPr>
              <w:t>17%</w:t>
            </w:r>
            <w:r w:rsidR="00E576EE">
              <w:rPr>
                <w:color w:val="auto"/>
                <w:sz w:val="20"/>
              </w:rPr>
              <w:t xml:space="preserve"> </w:t>
            </w:r>
            <w:r w:rsidRPr="00E576EE">
              <w:rPr>
                <w:color w:val="auto"/>
                <w:sz w:val="20"/>
              </w:rPr>
              <w:t>LA</w:t>
            </w:r>
            <w:r>
              <w:rPr>
                <w:color w:val="auto"/>
                <w:sz w:val="20"/>
              </w:rPr>
              <w:t xml:space="preserve"> PP outcomes in 2025</w:t>
            </w:r>
          </w:p>
          <w:p w14:paraId="6A958D83" w14:textId="7C56F21D" w:rsidR="008B13D7" w:rsidRPr="008B13D7" w:rsidRDefault="008B13D7" w:rsidP="00AF698A">
            <w:pPr>
              <w:pStyle w:val="TableRowCentered"/>
              <w:numPr>
                <w:ilvl w:val="0"/>
                <w:numId w:val="8"/>
              </w:numPr>
              <w:spacing w:before="0" w:after="0"/>
              <w:contextualSpacing/>
              <w:jc w:val="left"/>
              <w:rPr>
                <w:color w:val="auto"/>
                <w:sz w:val="20"/>
              </w:rPr>
            </w:pPr>
            <w:r w:rsidRPr="00AF698A">
              <w:rPr>
                <w:b/>
                <w:bCs/>
                <w:color w:val="auto"/>
                <w:sz w:val="20"/>
              </w:rPr>
              <w:t>+7%</w:t>
            </w:r>
            <w:r w:rsidRPr="008B13D7">
              <w:rPr>
                <w:color w:val="auto"/>
                <w:sz w:val="20"/>
              </w:rPr>
              <w:t xml:space="preserve"> increase in PP pupils achieving ARE in KS2 </w:t>
            </w:r>
            <w:r w:rsidRPr="008B13D7">
              <w:rPr>
                <w:bCs/>
                <w:color w:val="auto"/>
                <w:sz w:val="20"/>
              </w:rPr>
              <w:t>Maths</w:t>
            </w:r>
            <w:r w:rsidRPr="008B13D7">
              <w:rPr>
                <w:color w:val="auto"/>
                <w:sz w:val="20"/>
              </w:rPr>
              <w:t xml:space="preserve"> in 2025 compared with results achieved in 2024</w:t>
            </w:r>
          </w:p>
          <w:p w14:paraId="0662C810" w14:textId="6096F3E0" w:rsidR="008B13D7" w:rsidRPr="008B13D7" w:rsidRDefault="008B13D7" w:rsidP="00AF698A">
            <w:pPr>
              <w:pStyle w:val="TableRowCentered"/>
              <w:numPr>
                <w:ilvl w:val="0"/>
                <w:numId w:val="8"/>
              </w:numPr>
              <w:spacing w:before="0" w:after="0"/>
              <w:contextualSpacing/>
              <w:jc w:val="left"/>
              <w:rPr>
                <w:color w:val="auto"/>
                <w:sz w:val="20"/>
              </w:rPr>
            </w:pPr>
            <w:r w:rsidRPr="008B13D7">
              <w:rPr>
                <w:color w:val="auto"/>
                <w:sz w:val="20"/>
              </w:rPr>
              <w:t xml:space="preserve">PP/NON-PP gap closed by </w:t>
            </w:r>
            <w:r w:rsidRPr="00AF698A">
              <w:rPr>
                <w:b/>
                <w:bCs/>
                <w:color w:val="auto"/>
                <w:sz w:val="20"/>
              </w:rPr>
              <w:t>12%</w:t>
            </w:r>
            <w:r w:rsidRPr="008B13D7">
              <w:rPr>
                <w:b/>
                <w:bCs/>
                <w:color w:val="auto"/>
                <w:sz w:val="20"/>
              </w:rPr>
              <w:t xml:space="preserve"> </w:t>
            </w:r>
            <w:r w:rsidRPr="008B13D7">
              <w:rPr>
                <w:color w:val="auto"/>
                <w:sz w:val="20"/>
              </w:rPr>
              <w:t>in Maths</w:t>
            </w:r>
          </w:p>
          <w:p w14:paraId="16A1CFC1" w14:textId="77777777" w:rsidR="008B13D7" w:rsidRPr="008B13D7" w:rsidRDefault="008B13D7" w:rsidP="008B13D7">
            <w:pPr>
              <w:spacing w:after="0" w:line="240" w:lineRule="auto"/>
              <w:contextualSpacing/>
              <w:rPr>
                <w:color w:val="000000"/>
                <w:sz w:val="20"/>
                <w:szCs w:val="20"/>
                <w:highlight w:val="yellow"/>
              </w:rPr>
            </w:pPr>
          </w:p>
          <w:p w14:paraId="58ABCC98" w14:textId="77777777" w:rsidR="008B13D7" w:rsidRPr="008B13D7" w:rsidRDefault="008B13D7" w:rsidP="008B13D7">
            <w:pPr>
              <w:spacing w:after="0" w:line="240" w:lineRule="auto"/>
              <w:contextualSpacing/>
              <w:rPr>
                <w:b/>
                <w:bCs/>
                <w:color w:val="auto"/>
                <w:sz w:val="20"/>
                <w:szCs w:val="20"/>
                <w:u w:val="single"/>
              </w:rPr>
            </w:pPr>
            <w:r w:rsidRPr="008B13D7">
              <w:rPr>
                <w:b/>
                <w:bCs/>
                <w:color w:val="auto"/>
                <w:sz w:val="20"/>
                <w:szCs w:val="20"/>
                <w:u w:val="single"/>
              </w:rPr>
              <w:t>SPAG</w:t>
            </w:r>
          </w:p>
          <w:p w14:paraId="0499FE96" w14:textId="174931BB" w:rsidR="00EF2A2C" w:rsidRDefault="00EF2A2C" w:rsidP="00EF2A2C">
            <w:pPr>
              <w:pStyle w:val="TableRowCentered"/>
              <w:numPr>
                <w:ilvl w:val="0"/>
                <w:numId w:val="8"/>
              </w:numPr>
              <w:spacing w:before="0" w:after="0"/>
              <w:contextualSpacing/>
              <w:jc w:val="left"/>
              <w:rPr>
                <w:color w:val="auto"/>
                <w:sz w:val="20"/>
              </w:rPr>
            </w:pPr>
            <w:r>
              <w:rPr>
                <w:color w:val="auto"/>
                <w:sz w:val="20"/>
              </w:rPr>
              <w:t xml:space="preserve">School outcomes for PP pupils in </w:t>
            </w:r>
            <w:proofErr w:type="spellStart"/>
            <w:r>
              <w:rPr>
                <w:color w:val="auto"/>
                <w:sz w:val="20"/>
              </w:rPr>
              <w:t>SPaG</w:t>
            </w:r>
            <w:proofErr w:type="spellEnd"/>
            <w:r>
              <w:rPr>
                <w:color w:val="auto"/>
                <w:sz w:val="20"/>
              </w:rPr>
              <w:t xml:space="preserve"> ARE were in line with National outcomes in 2025</w:t>
            </w:r>
          </w:p>
          <w:p w14:paraId="62F4E3C1" w14:textId="6BC7863E" w:rsidR="00EF2A2C" w:rsidRPr="00EF2A2C" w:rsidRDefault="00EF2A2C" w:rsidP="00EF2A2C">
            <w:pPr>
              <w:pStyle w:val="TableRowCentered"/>
              <w:numPr>
                <w:ilvl w:val="0"/>
                <w:numId w:val="8"/>
              </w:numPr>
              <w:spacing w:before="0" w:after="0"/>
              <w:contextualSpacing/>
              <w:jc w:val="left"/>
              <w:rPr>
                <w:color w:val="auto"/>
                <w:sz w:val="20"/>
              </w:rPr>
            </w:pPr>
            <w:r>
              <w:rPr>
                <w:color w:val="auto"/>
                <w:sz w:val="20"/>
              </w:rPr>
              <w:t xml:space="preserve">School outcomes for PP pupils in </w:t>
            </w:r>
            <w:proofErr w:type="spellStart"/>
            <w:r>
              <w:rPr>
                <w:color w:val="auto"/>
                <w:sz w:val="20"/>
              </w:rPr>
              <w:t>SPaG</w:t>
            </w:r>
            <w:proofErr w:type="spellEnd"/>
            <w:r>
              <w:rPr>
                <w:color w:val="auto"/>
                <w:sz w:val="20"/>
              </w:rPr>
              <w:t xml:space="preserve"> GDS were above National and</w:t>
            </w:r>
            <w:r w:rsidR="001C2E52">
              <w:rPr>
                <w:color w:val="auto"/>
                <w:sz w:val="20"/>
              </w:rPr>
              <w:t xml:space="preserve"> above</w:t>
            </w:r>
            <w:r>
              <w:rPr>
                <w:color w:val="auto"/>
                <w:sz w:val="20"/>
              </w:rPr>
              <w:t xml:space="preserve"> </w:t>
            </w:r>
            <w:r w:rsidRPr="001C2E52">
              <w:rPr>
                <w:color w:val="auto"/>
                <w:sz w:val="20"/>
              </w:rPr>
              <w:t>LA PP</w:t>
            </w:r>
            <w:r>
              <w:rPr>
                <w:color w:val="auto"/>
                <w:sz w:val="20"/>
              </w:rPr>
              <w:t xml:space="preserve"> outcomes in 2025</w:t>
            </w:r>
          </w:p>
          <w:p w14:paraId="51D4C6DF" w14:textId="0B887EF4" w:rsidR="008B13D7" w:rsidRPr="008B13D7" w:rsidRDefault="008B13D7" w:rsidP="00AF698A">
            <w:pPr>
              <w:pStyle w:val="TableRowCentered"/>
              <w:numPr>
                <w:ilvl w:val="0"/>
                <w:numId w:val="8"/>
              </w:numPr>
              <w:spacing w:before="0" w:after="0"/>
              <w:contextualSpacing/>
              <w:jc w:val="left"/>
              <w:rPr>
                <w:color w:val="auto"/>
                <w:sz w:val="20"/>
              </w:rPr>
            </w:pPr>
            <w:r w:rsidRPr="00EF2A2C">
              <w:rPr>
                <w:b/>
                <w:bCs/>
                <w:color w:val="auto"/>
                <w:sz w:val="20"/>
              </w:rPr>
              <w:t>+5%</w:t>
            </w:r>
            <w:r w:rsidRPr="008B13D7">
              <w:rPr>
                <w:color w:val="auto"/>
                <w:sz w:val="20"/>
              </w:rPr>
              <w:t xml:space="preserve"> increase in PP pupils achieving ARE in KS2 SPAG in 2025 compared with results achieved in 2024</w:t>
            </w:r>
          </w:p>
          <w:p w14:paraId="51634BA1" w14:textId="77777777" w:rsidR="00EF2A2C" w:rsidRDefault="00EF2A2C" w:rsidP="00EF2A2C">
            <w:pPr>
              <w:spacing w:after="0" w:line="240" w:lineRule="auto"/>
              <w:rPr>
                <w:color w:val="000000"/>
                <w:sz w:val="20"/>
                <w:szCs w:val="20"/>
                <w:highlight w:val="yellow"/>
              </w:rPr>
            </w:pPr>
          </w:p>
          <w:p w14:paraId="42C2BEA0" w14:textId="765CA1E4" w:rsidR="003B4C45" w:rsidRPr="00E54A83" w:rsidRDefault="00E54A83" w:rsidP="00EF2A2C">
            <w:pPr>
              <w:spacing w:after="0" w:line="240" w:lineRule="auto"/>
              <w:rPr>
                <w:b/>
                <w:bCs/>
                <w:color w:val="0070C0"/>
                <w:sz w:val="20"/>
                <w:szCs w:val="20"/>
              </w:rPr>
            </w:pPr>
            <w:r w:rsidRPr="00E54A83">
              <w:rPr>
                <w:b/>
                <w:bCs/>
                <w:color w:val="0070C0"/>
                <w:sz w:val="20"/>
                <w:szCs w:val="20"/>
              </w:rPr>
              <w:t>Wider Issues</w:t>
            </w:r>
          </w:p>
          <w:p w14:paraId="5A72AF74" w14:textId="662C6330" w:rsidR="008B13D7" w:rsidRDefault="008B13D7" w:rsidP="00EF2A2C">
            <w:pPr>
              <w:spacing w:after="0" w:line="240" w:lineRule="auto"/>
              <w:contextualSpacing/>
              <w:rPr>
                <w:color w:val="000000"/>
                <w:sz w:val="20"/>
                <w:szCs w:val="20"/>
                <w:highlight w:val="yellow"/>
              </w:rPr>
            </w:pPr>
            <w:r w:rsidRPr="008B13D7">
              <w:rPr>
                <w:color w:val="000000"/>
                <w:sz w:val="20"/>
                <w:szCs w:val="20"/>
              </w:rPr>
              <w:t>We have also drawn on school data and observations to assess wider issues impacting disadvantaged pupils' performance, including attendance, behaviour and wellbeing. The data demonstrated that</w:t>
            </w:r>
            <w:r w:rsidR="003B4C45">
              <w:rPr>
                <w:color w:val="000000"/>
                <w:sz w:val="20"/>
                <w:szCs w:val="20"/>
              </w:rPr>
              <w:t>:</w:t>
            </w:r>
            <w:r w:rsidRPr="008B13D7">
              <w:rPr>
                <w:color w:val="000000"/>
                <w:sz w:val="20"/>
                <w:szCs w:val="20"/>
              </w:rPr>
              <w:t xml:space="preserve"> </w:t>
            </w:r>
          </w:p>
          <w:p w14:paraId="283AD1D2" w14:textId="77777777" w:rsidR="00EF2A2C" w:rsidRPr="008B13D7" w:rsidRDefault="00EF2A2C" w:rsidP="00EF2A2C">
            <w:pPr>
              <w:spacing w:after="0" w:line="240" w:lineRule="auto"/>
              <w:contextualSpacing/>
              <w:rPr>
                <w:color w:val="000000"/>
                <w:sz w:val="20"/>
                <w:szCs w:val="20"/>
                <w:highlight w:val="yellow"/>
              </w:rPr>
            </w:pPr>
          </w:p>
          <w:p w14:paraId="3AA18469" w14:textId="57064FC6" w:rsidR="003B4C45" w:rsidRPr="002F48A3" w:rsidRDefault="00EF2A2C" w:rsidP="002F48A3">
            <w:pPr>
              <w:pStyle w:val="ListParagraph"/>
              <w:numPr>
                <w:ilvl w:val="0"/>
                <w:numId w:val="12"/>
              </w:numPr>
              <w:spacing w:after="0" w:line="240" w:lineRule="auto"/>
              <w:rPr>
                <w:color w:val="000000"/>
                <w:sz w:val="20"/>
                <w:szCs w:val="20"/>
              </w:rPr>
            </w:pPr>
            <w:r w:rsidRPr="00EF2A2C">
              <w:rPr>
                <w:color w:val="000000"/>
                <w:sz w:val="20"/>
                <w:szCs w:val="20"/>
              </w:rPr>
              <w:t>Attendance of PPG Pupils during the academic Year 2024/2025 was 92.8% which was ‘close to’ the national average of 92.6%</w:t>
            </w:r>
          </w:p>
          <w:p w14:paraId="577E0759" w14:textId="77777777" w:rsidR="003B4C45" w:rsidRPr="003B4C45" w:rsidRDefault="003B4C45" w:rsidP="003B4C45">
            <w:pPr>
              <w:spacing w:after="0" w:line="240" w:lineRule="auto"/>
              <w:rPr>
                <w:color w:val="000000"/>
                <w:sz w:val="20"/>
                <w:szCs w:val="20"/>
              </w:rPr>
            </w:pPr>
          </w:p>
          <w:p w14:paraId="6DDF0DAF" w14:textId="77777777" w:rsidR="008B13D7" w:rsidRDefault="008B13D7" w:rsidP="003B4C45">
            <w:pPr>
              <w:spacing w:after="0" w:line="240" w:lineRule="auto"/>
              <w:contextualSpacing/>
              <w:rPr>
                <w:color w:val="000000"/>
                <w:sz w:val="20"/>
                <w:szCs w:val="20"/>
              </w:rPr>
            </w:pPr>
          </w:p>
          <w:p w14:paraId="40938AC0" w14:textId="77777777" w:rsidR="00CE4923" w:rsidRPr="008B13D7" w:rsidRDefault="00CE4923" w:rsidP="003B4C45">
            <w:pPr>
              <w:spacing w:after="0" w:line="240" w:lineRule="auto"/>
              <w:contextualSpacing/>
              <w:rPr>
                <w:color w:val="000000"/>
                <w:sz w:val="20"/>
                <w:szCs w:val="20"/>
              </w:rPr>
            </w:pPr>
          </w:p>
          <w:p w14:paraId="211CE2D2" w14:textId="77777777" w:rsidR="008B13D7" w:rsidRPr="008B13D7" w:rsidRDefault="008B13D7" w:rsidP="003B4C45">
            <w:pPr>
              <w:spacing w:after="0" w:line="240" w:lineRule="auto"/>
              <w:contextualSpacing/>
              <w:rPr>
                <w:b/>
                <w:bCs/>
                <w:color w:val="000000"/>
                <w:sz w:val="20"/>
                <w:szCs w:val="20"/>
              </w:rPr>
            </w:pPr>
            <w:r w:rsidRPr="008B13D7">
              <w:rPr>
                <w:b/>
                <w:bCs/>
                <w:color w:val="000000"/>
                <w:sz w:val="20"/>
                <w:szCs w:val="20"/>
              </w:rPr>
              <w:lastRenderedPageBreak/>
              <w:t>Support Provided to Disadvantaged Pupils</w:t>
            </w:r>
          </w:p>
          <w:p w14:paraId="6C3649A9" w14:textId="77777777" w:rsidR="008B13D7" w:rsidRDefault="008B13D7" w:rsidP="003B4C45">
            <w:pPr>
              <w:spacing w:after="0" w:line="240" w:lineRule="auto"/>
              <w:contextualSpacing/>
              <w:rPr>
                <w:color w:val="000000"/>
                <w:sz w:val="20"/>
                <w:szCs w:val="20"/>
              </w:rPr>
            </w:pPr>
            <w:r w:rsidRPr="008B13D7">
              <w:rPr>
                <w:color w:val="000000"/>
                <w:sz w:val="20"/>
                <w:szCs w:val="20"/>
              </w:rPr>
              <w:t>The school implemented several targeted strategies to support disadvantaged pupils and address their varied needs during the 24/25 academic year. Key areas of support included:</w:t>
            </w:r>
          </w:p>
          <w:p w14:paraId="2CA40EFE" w14:textId="77777777" w:rsidR="003B4C45" w:rsidRDefault="003B4C45" w:rsidP="003B4C45">
            <w:pPr>
              <w:spacing w:after="0" w:line="240" w:lineRule="auto"/>
              <w:contextualSpacing/>
              <w:rPr>
                <w:color w:val="000000"/>
                <w:sz w:val="20"/>
                <w:szCs w:val="20"/>
              </w:rPr>
            </w:pPr>
          </w:p>
          <w:p w14:paraId="0693D316" w14:textId="77777777" w:rsidR="003B4C45" w:rsidRPr="003B4C45" w:rsidRDefault="003B4C45" w:rsidP="003B4C45">
            <w:pPr>
              <w:pStyle w:val="ListParagraph"/>
              <w:numPr>
                <w:ilvl w:val="0"/>
                <w:numId w:val="14"/>
              </w:numPr>
              <w:spacing w:after="0" w:line="240" w:lineRule="auto"/>
              <w:rPr>
                <w:b/>
                <w:bCs/>
                <w:color w:val="000000"/>
                <w:sz w:val="20"/>
                <w:szCs w:val="20"/>
              </w:rPr>
            </w:pPr>
            <w:r w:rsidRPr="003B4C45">
              <w:rPr>
                <w:b/>
                <w:bCs/>
                <w:color w:val="000000"/>
                <w:sz w:val="20"/>
                <w:szCs w:val="20"/>
              </w:rPr>
              <w:t>Communication and Language</w:t>
            </w:r>
          </w:p>
          <w:p w14:paraId="51155B98" w14:textId="5E83EFCF" w:rsidR="003B4C45" w:rsidRDefault="003B4C45" w:rsidP="003B4C45">
            <w:pPr>
              <w:pStyle w:val="ListParagraph"/>
              <w:numPr>
                <w:ilvl w:val="1"/>
                <w:numId w:val="14"/>
              </w:numPr>
              <w:spacing w:after="0" w:line="240" w:lineRule="auto"/>
              <w:rPr>
                <w:color w:val="000000"/>
                <w:sz w:val="20"/>
                <w:szCs w:val="20"/>
              </w:rPr>
            </w:pPr>
            <w:r>
              <w:rPr>
                <w:color w:val="000000"/>
                <w:sz w:val="20"/>
                <w:szCs w:val="20"/>
              </w:rPr>
              <w:t>Talk Boost intervention to develop Speaking and Listening skills in EYFS</w:t>
            </w:r>
          </w:p>
          <w:p w14:paraId="6AAFE6A4" w14:textId="72D269B9" w:rsidR="003B4C45" w:rsidRPr="003B4C45" w:rsidRDefault="003B4C45" w:rsidP="003B4C45">
            <w:pPr>
              <w:pStyle w:val="ListParagraph"/>
              <w:numPr>
                <w:ilvl w:val="0"/>
                <w:numId w:val="14"/>
              </w:numPr>
              <w:spacing w:after="0" w:line="240" w:lineRule="auto"/>
              <w:rPr>
                <w:b/>
                <w:bCs/>
                <w:color w:val="000000"/>
                <w:sz w:val="20"/>
                <w:szCs w:val="20"/>
              </w:rPr>
            </w:pPr>
            <w:r w:rsidRPr="003B4C45">
              <w:rPr>
                <w:b/>
                <w:bCs/>
                <w:color w:val="000000"/>
                <w:sz w:val="20"/>
                <w:szCs w:val="20"/>
              </w:rPr>
              <w:t xml:space="preserve">Reading </w:t>
            </w:r>
          </w:p>
          <w:p w14:paraId="7D1DAA3A" w14:textId="17E99730" w:rsidR="000E22A7" w:rsidRDefault="000E22A7" w:rsidP="003B4C45">
            <w:pPr>
              <w:pStyle w:val="ListParagraph"/>
              <w:numPr>
                <w:ilvl w:val="1"/>
                <w:numId w:val="14"/>
              </w:numPr>
              <w:spacing w:after="0" w:line="240" w:lineRule="auto"/>
              <w:rPr>
                <w:color w:val="000000"/>
                <w:sz w:val="20"/>
                <w:szCs w:val="20"/>
              </w:rPr>
            </w:pPr>
            <w:r>
              <w:rPr>
                <w:color w:val="000000"/>
                <w:sz w:val="20"/>
                <w:szCs w:val="20"/>
              </w:rPr>
              <w:t xml:space="preserve">1:1 Reading </w:t>
            </w:r>
          </w:p>
          <w:p w14:paraId="4A1B7A8F" w14:textId="30D5DF1E" w:rsidR="000E22A7" w:rsidRDefault="000E22A7" w:rsidP="003B4C45">
            <w:pPr>
              <w:pStyle w:val="ListParagraph"/>
              <w:numPr>
                <w:ilvl w:val="1"/>
                <w:numId w:val="14"/>
              </w:numPr>
              <w:spacing w:after="0" w:line="240" w:lineRule="auto"/>
              <w:rPr>
                <w:color w:val="000000"/>
                <w:sz w:val="20"/>
                <w:szCs w:val="20"/>
              </w:rPr>
            </w:pPr>
            <w:r>
              <w:rPr>
                <w:color w:val="000000"/>
                <w:sz w:val="20"/>
                <w:szCs w:val="20"/>
              </w:rPr>
              <w:t xml:space="preserve">1:1 </w:t>
            </w:r>
            <w:proofErr w:type="spellStart"/>
            <w:r>
              <w:rPr>
                <w:color w:val="000000"/>
                <w:sz w:val="20"/>
                <w:szCs w:val="20"/>
              </w:rPr>
              <w:t>RWInc</w:t>
            </w:r>
            <w:proofErr w:type="spellEnd"/>
            <w:r>
              <w:rPr>
                <w:color w:val="000000"/>
                <w:sz w:val="20"/>
                <w:szCs w:val="20"/>
              </w:rPr>
              <w:t xml:space="preserve"> tutoring</w:t>
            </w:r>
          </w:p>
          <w:p w14:paraId="29B74B60" w14:textId="5B483B74" w:rsidR="003B4C45" w:rsidRDefault="003B4C45" w:rsidP="003B4C45">
            <w:pPr>
              <w:pStyle w:val="ListParagraph"/>
              <w:numPr>
                <w:ilvl w:val="1"/>
                <w:numId w:val="14"/>
              </w:numPr>
              <w:spacing w:after="0" w:line="240" w:lineRule="auto"/>
              <w:rPr>
                <w:color w:val="000000"/>
                <w:sz w:val="20"/>
                <w:szCs w:val="20"/>
              </w:rPr>
            </w:pPr>
            <w:r>
              <w:rPr>
                <w:color w:val="000000"/>
                <w:sz w:val="20"/>
                <w:szCs w:val="20"/>
              </w:rPr>
              <w:t>Literacy Pathway to develop the reading and spelling progress of Yr3 and Yr4 pupils</w:t>
            </w:r>
          </w:p>
          <w:p w14:paraId="40C902BC" w14:textId="77777777" w:rsidR="00023BDC" w:rsidRPr="003B4C45" w:rsidRDefault="00023BDC" w:rsidP="00023BDC">
            <w:pPr>
              <w:pStyle w:val="ListParagraph"/>
              <w:numPr>
                <w:ilvl w:val="1"/>
                <w:numId w:val="14"/>
              </w:numPr>
              <w:spacing w:after="0" w:line="240" w:lineRule="auto"/>
              <w:rPr>
                <w:color w:val="000000"/>
                <w:sz w:val="20"/>
                <w:szCs w:val="20"/>
              </w:rPr>
            </w:pPr>
            <w:r>
              <w:rPr>
                <w:color w:val="000000"/>
                <w:sz w:val="20"/>
                <w:szCs w:val="20"/>
              </w:rPr>
              <w:t xml:space="preserve">IDL Dyslexia </w:t>
            </w:r>
          </w:p>
          <w:p w14:paraId="50EAF536" w14:textId="323C59A2" w:rsidR="003B4C45" w:rsidRDefault="003B4C45" w:rsidP="003B4C45">
            <w:pPr>
              <w:pStyle w:val="ListParagraph"/>
              <w:numPr>
                <w:ilvl w:val="1"/>
                <w:numId w:val="14"/>
              </w:numPr>
              <w:spacing w:after="0" w:line="240" w:lineRule="auto"/>
              <w:rPr>
                <w:color w:val="000000"/>
                <w:sz w:val="20"/>
                <w:szCs w:val="20"/>
              </w:rPr>
            </w:pPr>
            <w:r>
              <w:rPr>
                <w:color w:val="000000"/>
                <w:sz w:val="20"/>
                <w:szCs w:val="20"/>
              </w:rPr>
              <w:t>Yr6 SATs Booster sessions – Reading</w:t>
            </w:r>
          </w:p>
          <w:p w14:paraId="46E9AB55" w14:textId="77777777" w:rsidR="003B4C45" w:rsidRDefault="003B4C45" w:rsidP="003B4C45">
            <w:pPr>
              <w:pStyle w:val="ListParagraph"/>
              <w:numPr>
                <w:ilvl w:val="0"/>
                <w:numId w:val="14"/>
              </w:numPr>
              <w:spacing w:after="0" w:line="240" w:lineRule="auto"/>
              <w:rPr>
                <w:color w:val="000000"/>
                <w:sz w:val="20"/>
                <w:szCs w:val="20"/>
              </w:rPr>
            </w:pPr>
            <w:r w:rsidRPr="003B4C45">
              <w:rPr>
                <w:b/>
                <w:bCs/>
                <w:color w:val="000000"/>
                <w:sz w:val="20"/>
                <w:szCs w:val="20"/>
              </w:rPr>
              <w:t>Writing</w:t>
            </w:r>
            <w:r>
              <w:rPr>
                <w:color w:val="000000"/>
                <w:sz w:val="20"/>
                <w:szCs w:val="20"/>
              </w:rPr>
              <w:t xml:space="preserve"> </w:t>
            </w:r>
          </w:p>
          <w:p w14:paraId="5C22E32C" w14:textId="1224F892" w:rsidR="003B4C45" w:rsidRPr="003B4C45" w:rsidRDefault="003B4C45" w:rsidP="003B4C45">
            <w:pPr>
              <w:pStyle w:val="ListParagraph"/>
              <w:numPr>
                <w:ilvl w:val="1"/>
                <w:numId w:val="14"/>
              </w:numPr>
              <w:spacing w:after="0" w:line="240" w:lineRule="auto"/>
              <w:rPr>
                <w:color w:val="000000"/>
                <w:sz w:val="20"/>
                <w:szCs w:val="20"/>
              </w:rPr>
            </w:pPr>
            <w:r>
              <w:rPr>
                <w:color w:val="000000"/>
                <w:sz w:val="20"/>
                <w:szCs w:val="20"/>
              </w:rPr>
              <w:t>Yr6 SATs Booster sessions – Writing</w:t>
            </w:r>
          </w:p>
          <w:p w14:paraId="2D8ED47E" w14:textId="5F24DF6A" w:rsidR="003B4C45" w:rsidRDefault="003B4C45" w:rsidP="003B4C45">
            <w:pPr>
              <w:pStyle w:val="ListParagraph"/>
              <w:numPr>
                <w:ilvl w:val="0"/>
                <w:numId w:val="14"/>
              </w:numPr>
              <w:spacing w:after="0" w:line="240" w:lineRule="auto"/>
              <w:rPr>
                <w:b/>
                <w:bCs/>
                <w:color w:val="000000"/>
                <w:sz w:val="20"/>
                <w:szCs w:val="20"/>
              </w:rPr>
            </w:pPr>
            <w:r w:rsidRPr="003B4C45">
              <w:rPr>
                <w:b/>
                <w:bCs/>
                <w:color w:val="000000"/>
                <w:sz w:val="20"/>
                <w:szCs w:val="20"/>
              </w:rPr>
              <w:t>Maths</w:t>
            </w:r>
          </w:p>
          <w:p w14:paraId="0D8B28C3" w14:textId="77777777" w:rsidR="00023BDC" w:rsidRPr="000E22A7" w:rsidRDefault="00023BDC" w:rsidP="00023BDC">
            <w:pPr>
              <w:pStyle w:val="ListParagraph"/>
              <w:numPr>
                <w:ilvl w:val="1"/>
                <w:numId w:val="14"/>
              </w:numPr>
              <w:spacing w:after="0" w:line="240" w:lineRule="auto"/>
              <w:rPr>
                <w:color w:val="000000"/>
                <w:sz w:val="20"/>
                <w:szCs w:val="20"/>
              </w:rPr>
            </w:pPr>
            <w:r>
              <w:rPr>
                <w:color w:val="000000"/>
                <w:sz w:val="20"/>
                <w:szCs w:val="20"/>
              </w:rPr>
              <w:t xml:space="preserve">IDL Dyscalculia </w:t>
            </w:r>
          </w:p>
          <w:p w14:paraId="3838861A" w14:textId="4F3D890F" w:rsidR="003B4C45" w:rsidRDefault="003B4C45" w:rsidP="003B4C45">
            <w:pPr>
              <w:pStyle w:val="ListParagraph"/>
              <w:numPr>
                <w:ilvl w:val="1"/>
                <w:numId w:val="14"/>
              </w:numPr>
              <w:spacing w:after="0" w:line="240" w:lineRule="auto"/>
              <w:rPr>
                <w:color w:val="000000"/>
                <w:sz w:val="20"/>
                <w:szCs w:val="20"/>
              </w:rPr>
            </w:pPr>
            <w:r>
              <w:rPr>
                <w:color w:val="000000"/>
                <w:sz w:val="20"/>
                <w:szCs w:val="20"/>
              </w:rPr>
              <w:t xml:space="preserve">Yr6 SATs Booster sessions – </w:t>
            </w:r>
            <w:r w:rsidR="000E22A7">
              <w:rPr>
                <w:color w:val="000000"/>
                <w:sz w:val="20"/>
                <w:szCs w:val="20"/>
              </w:rPr>
              <w:t>Maths</w:t>
            </w:r>
          </w:p>
          <w:p w14:paraId="782D54E1" w14:textId="77777777" w:rsidR="00CE7B05" w:rsidRDefault="00CE7B05" w:rsidP="003B4C45">
            <w:pPr>
              <w:spacing w:after="0" w:line="240" w:lineRule="auto"/>
              <w:contextualSpacing/>
              <w:rPr>
                <w:b/>
                <w:bCs/>
                <w:color w:val="000000"/>
                <w:sz w:val="20"/>
                <w:szCs w:val="20"/>
              </w:rPr>
            </w:pPr>
          </w:p>
          <w:p w14:paraId="511E25ED" w14:textId="77777777" w:rsidR="00023BDC" w:rsidRDefault="00023BDC" w:rsidP="003B4C45">
            <w:pPr>
              <w:spacing w:after="0" w:line="240" w:lineRule="auto"/>
              <w:contextualSpacing/>
              <w:rPr>
                <w:b/>
                <w:bCs/>
                <w:color w:val="000000"/>
                <w:sz w:val="20"/>
                <w:szCs w:val="20"/>
              </w:rPr>
            </w:pPr>
          </w:p>
          <w:p w14:paraId="257C8A3B" w14:textId="6C7EA21D" w:rsidR="008B13D7" w:rsidRPr="008B13D7" w:rsidRDefault="008B13D7" w:rsidP="003B4C45">
            <w:pPr>
              <w:spacing w:after="0" w:line="240" w:lineRule="auto"/>
              <w:contextualSpacing/>
              <w:rPr>
                <w:b/>
                <w:bCs/>
                <w:color w:val="000000"/>
                <w:sz w:val="20"/>
                <w:szCs w:val="20"/>
              </w:rPr>
            </w:pPr>
            <w:r w:rsidRPr="008B13D7">
              <w:rPr>
                <w:b/>
                <w:bCs/>
                <w:color w:val="000000"/>
                <w:sz w:val="20"/>
                <w:szCs w:val="20"/>
              </w:rPr>
              <w:t>Speech and Language Development</w:t>
            </w:r>
          </w:p>
          <w:p w14:paraId="35CFC2CA" w14:textId="77777777" w:rsidR="008B13D7" w:rsidRPr="008B13D7" w:rsidRDefault="008B13D7" w:rsidP="003B4C45">
            <w:pPr>
              <w:spacing w:after="0" w:line="240" w:lineRule="auto"/>
              <w:contextualSpacing/>
              <w:rPr>
                <w:color w:val="000000"/>
                <w:sz w:val="20"/>
                <w:szCs w:val="20"/>
              </w:rPr>
            </w:pPr>
            <w:r w:rsidRPr="008B13D7">
              <w:rPr>
                <w:color w:val="000000"/>
                <w:sz w:val="20"/>
                <w:szCs w:val="20"/>
              </w:rPr>
              <w:t>To enhance speech and language skills, the school utilised the Stoke Speaks Out assessment tool alongside the Talk Boost Programmes. These initiatives aimed to identify and address gaps in pupils' language development, providing tailored interventions where needed.</w:t>
            </w:r>
          </w:p>
          <w:p w14:paraId="7E70928D" w14:textId="77777777" w:rsidR="008B13D7" w:rsidRPr="008B13D7" w:rsidRDefault="008B13D7" w:rsidP="000E22A7">
            <w:pPr>
              <w:spacing w:after="0" w:line="240" w:lineRule="auto"/>
              <w:ind w:left="720"/>
              <w:contextualSpacing/>
              <w:rPr>
                <w:color w:val="000000"/>
                <w:sz w:val="20"/>
                <w:szCs w:val="20"/>
              </w:rPr>
            </w:pPr>
          </w:p>
          <w:p w14:paraId="3FB31CE4"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Creating Language-Rich Environments</w:t>
            </w:r>
          </w:p>
          <w:p w14:paraId="1145BBC1" w14:textId="77777777" w:rsidR="00562CF6" w:rsidRDefault="008B13D7" w:rsidP="000E22A7">
            <w:pPr>
              <w:spacing w:after="0" w:line="240" w:lineRule="auto"/>
              <w:contextualSpacing/>
              <w:rPr>
                <w:color w:val="000000"/>
                <w:sz w:val="20"/>
                <w:szCs w:val="20"/>
              </w:rPr>
            </w:pPr>
            <w:r w:rsidRPr="00CC20CA">
              <w:rPr>
                <w:color w:val="000000"/>
                <w:sz w:val="20"/>
                <w:szCs w:val="20"/>
              </w:rPr>
              <w:t xml:space="preserve">Staff </w:t>
            </w:r>
            <w:r w:rsidR="00E62878" w:rsidRPr="00CC20CA">
              <w:rPr>
                <w:color w:val="000000"/>
                <w:sz w:val="20"/>
                <w:szCs w:val="20"/>
              </w:rPr>
              <w:t xml:space="preserve">continue to </w:t>
            </w:r>
            <w:r w:rsidRPr="00CC20CA">
              <w:rPr>
                <w:color w:val="000000"/>
                <w:sz w:val="20"/>
                <w:szCs w:val="20"/>
              </w:rPr>
              <w:t xml:space="preserve">work to develop language-rich classroom settings, fostering an atmosphere where vocabulary and communication skills </w:t>
            </w:r>
            <w:r w:rsidR="00E62878" w:rsidRPr="00CC20CA">
              <w:rPr>
                <w:color w:val="000000"/>
                <w:sz w:val="20"/>
                <w:szCs w:val="20"/>
              </w:rPr>
              <w:t>are</w:t>
            </w:r>
            <w:r w:rsidRPr="00CC20CA">
              <w:rPr>
                <w:color w:val="000000"/>
                <w:sz w:val="20"/>
                <w:szCs w:val="20"/>
              </w:rPr>
              <w:t xml:space="preserve"> </w:t>
            </w:r>
            <w:r w:rsidR="00E62878" w:rsidRPr="00CC20CA">
              <w:rPr>
                <w:color w:val="000000"/>
                <w:sz w:val="20"/>
                <w:szCs w:val="20"/>
              </w:rPr>
              <w:t xml:space="preserve">developed </w:t>
            </w:r>
            <w:r w:rsidRPr="00CC20CA">
              <w:rPr>
                <w:color w:val="000000"/>
                <w:sz w:val="20"/>
                <w:szCs w:val="20"/>
              </w:rPr>
              <w:t>through daily teaching practices.</w:t>
            </w:r>
            <w:r w:rsidR="00E62878">
              <w:rPr>
                <w:color w:val="000000"/>
                <w:sz w:val="20"/>
                <w:szCs w:val="20"/>
              </w:rPr>
              <w:t xml:space="preserve"> </w:t>
            </w:r>
          </w:p>
          <w:p w14:paraId="375A60A4" w14:textId="77777777" w:rsidR="00562CF6" w:rsidRDefault="00562CF6" w:rsidP="000E22A7">
            <w:pPr>
              <w:spacing w:after="0" w:line="240" w:lineRule="auto"/>
              <w:contextualSpacing/>
              <w:rPr>
                <w:color w:val="000000"/>
                <w:sz w:val="20"/>
                <w:szCs w:val="20"/>
              </w:rPr>
            </w:pPr>
          </w:p>
          <w:p w14:paraId="075E8543" w14:textId="7D354E9D" w:rsidR="00837707" w:rsidRPr="008B13D7" w:rsidRDefault="00CC20CA" w:rsidP="000E22A7">
            <w:pPr>
              <w:spacing w:after="0" w:line="240" w:lineRule="auto"/>
              <w:contextualSpacing/>
              <w:rPr>
                <w:color w:val="000000"/>
                <w:sz w:val="20"/>
                <w:szCs w:val="20"/>
              </w:rPr>
            </w:pPr>
            <w:r>
              <w:rPr>
                <w:color w:val="000000"/>
                <w:sz w:val="20"/>
                <w:szCs w:val="20"/>
              </w:rPr>
              <w:t>E</w:t>
            </w:r>
            <w:r w:rsidR="00E62878">
              <w:rPr>
                <w:color w:val="000000"/>
                <w:sz w:val="20"/>
                <w:szCs w:val="20"/>
              </w:rPr>
              <w:t xml:space="preserve">ffective interactions in EYFS </w:t>
            </w:r>
            <w:r w:rsidR="00023BDC">
              <w:rPr>
                <w:color w:val="000000"/>
                <w:sz w:val="20"/>
                <w:szCs w:val="20"/>
              </w:rPr>
              <w:t>were</w:t>
            </w:r>
            <w:r w:rsidR="00E62878">
              <w:rPr>
                <w:color w:val="000000"/>
                <w:sz w:val="20"/>
                <w:szCs w:val="20"/>
              </w:rPr>
              <w:t xml:space="preserve"> a focus with </w:t>
            </w:r>
            <w:r w:rsidR="007A3494">
              <w:rPr>
                <w:color w:val="000000"/>
                <w:sz w:val="20"/>
                <w:szCs w:val="20"/>
              </w:rPr>
              <w:t xml:space="preserve">staff undertaking </w:t>
            </w:r>
            <w:r w:rsidR="00562CF6">
              <w:rPr>
                <w:color w:val="000000"/>
                <w:sz w:val="20"/>
                <w:szCs w:val="20"/>
              </w:rPr>
              <w:t>C</w:t>
            </w:r>
            <w:r w:rsidR="007A3494">
              <w:rPr>
                <w:color w:val="000000"/>
                <w:sz w:val="20"/>
                <w:szCs w:val="20"/>
              </w:rPr>
              <w:t xml:space="preserve">PD to </w:t>
            </w:r>
            <w:r w:rsidR="00562CF6">
              <w:rPr>
                <w:color w:val="000000"/>
                <w:sz w:val="20"/>
                <w:szCs w:val="20"/>
              </w:rPr>
              <w:t>deepen understanding of how</w:t>
            </w:r>
            <w:r w:rsidR="007A3494">
              <w:rPr>
                <w:color w:val="000000"/>
                <w:sz w:val="20"/>
                <w:szCs w:val="20"/>
              </w:rPr>
              <w:t xml:space="preserve"> </w:t>
            </w:r>
            <w:r w:rsidR="00562CF6">
              <w:rPr>
                <w:color w:val="000000"/>
                <w:sz w:val="20"/>
                <w:szCs w:val="20"/>
              </w:rPr>
              <w:t xml:space="preserve">to foster </w:t>
            </w:r>
            <w:r>
              <w:rPr>
                <w:color w:val="000000"/>
                <w:sz w:val="20"/>
                <w:szCs w:val="20"/>
              </w:rPr>
              <w:t xml:space="preserve">purposeful </w:t>
            </w:r>
            <w:r w:rsidR="007A3494">
              <w:rPr>
                <w:color w:val="000000"/>
                <w:sz w:val="20"/>
                <w:szCs w:val="20"/>
              </w:rPr>
              <w:t xml:space="preserve">interactions with pupils </w:t>
            </w:r>
            <w:r>
              <w:rPr>
                <w:color w:val="000000"/>
                <w:sz w:val="20"/>
                <w:szCs w:val="20"/>
              </w:rPr>
              <w:t>to enable</w:t>
            </w:r>
            <w:r w:rsidR="007A3494">
              <w:rPr>
                <w:color w:val="000000"/>
                <w:sz w:val="20"/>
                <w:szCs w:val="20"/>
              </w:rPr>
              <w:t xml:space="preserve"> effective vocabulary</w:t>
            </w:r>
            <w:r>
              <w:rPr>
                <w:color w:val="000000"/>
                <w:sz w:val="20"/>
                <w:szCs w:val="20"/>
              </w:rPr>
              <w:t xml:space="preserve"> development</w:t>
            </w:r>
            <w:r w:rsidR="00562CF6">
              <w:rPr>
                <w:color w:val="000000"/>
                <w:sz w:val="20"/>
                <w:szCs w:val="20"/>
              </w:rPr>
              <w:t>.</w:t>
            </w:r>
            <w:r w:rsidR="00E62878">
              <w:rPr>
                <w:color w:val="000000"/>
                <w:sz w:val="20"/>
                <w:szCs w:val="20"/>
              </w:rPr>
              <w:t xml:space="preserve"> </w:t>
            </w:r>
          </w:p>
          <w:p w14:paraId="168ABF8A" w14:textId="77777777" w:rsidR="008B13D7" w:rsidRPr="008B13D7" w:rsidRDefault="008B13D7" w:rsidP="000E22A7">
            <w:pPr>
              <w:spacing w:after="0" w:line="240" w:lineRule="auto"/>
              <w:ind w:left="720"/>
              <w:contextualSpacing/>
              <w:rPr>
                <w:color w:val="000000"/>
                <w:sz w:val="20"/>
                <w:szCs w:val="20"/>
              </w:rPr>
            </w:pPr>
          </w:p>
          <w:p w14:paraId="63E2DF48"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Inclusion and Neurodiversity</w:t>
            </w:r>
          </w:p>
          <w:p w14:paraId="4457586F" w14:textId="4DC7416E" w:rsidR="008B13D7" w:rsidRDefault="008B13D7" w:rsidP="000E22A7">
            <w:pPr>
              <w:spacing w:after="0" w:line="240" w:lineRule="auto"/>
              <w:contextualSpacing/>
              <w:rPr>
                <w:color w:val="000000"/>
                <w:sz w:val="20"/>
                <w:szCs w:val="20"/>
              </w:rPr>
            </w:pPr>
            <w:r w:rsidRPr="008B13D7">
              <w:rPr>
                <w:color w:val="000000"/>
                <w:sz w:val="20"/>
                <w:szCs w:val="20"/>
              </w:rPr>
              <w:t>The school invested in the Partnership for the Inclusion of Neurodiversity in Schools (PINs) Project. This initiative was designed to promote inclusive practices and better support neurodiverse pupils within mainstream educational settings.</w:t>
            </w:r>
          </w:p>
          <w:p w14:paraId="7D029B92" w14:textId="77777777" w:rsidR="000E22A7" w:rsidRPr="008B13D7" w:rsidRDefault="000E22A7" w:rsidP="000E22A7">
            <w:pPr>
              <w:spacing w:after="0" w:line="240" w:lineRule="auto"/>
              <w:contextualSpacing/>
              <w:rPr>
                <w:color w:val="000000"/>
                <w:sz w:val="20"/>
                <w:szCs w:val="20"/>
              </w:rPr>
            </w:pPr>
          </w:p>
          <w:p w14:paraId="65E87AD4"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Targeted Teaching Assistant Support</w:t>
            </w:r>
          </w:p>
          <w:p w14:paraId="754DB0F2" w14:textId="77777777" w:rsidR="00BF6D8F" w:rsidRDefault="004F28CB" w:rsidP="000E22A7">
            <w:pPr>
              <w:spacing w:after="0" w:line="240" w:lineRule="auto"/>
              <w:contextualSpacing/>
              <w:rPr>
                <w:color w:val="000000"/>
                <w:sz w:val="20"/>
                <w:szCs w:val="20"/>
              </w:rPr>
            </w:pPr>
            <w:r w:rsidRPr="00BF6D8F">
              <w:rPr>
                <w:color w:val="000000"/>
                <w:sz w:val="20"/>
                <w:szCs w:val="20"/>
              </w:rPr>
              <w:t>TA</w:t>
            </w:r>
            <w:r w:rsidR="004235E5" w:rsidRPr="00BF6D8F">
              <w:rPr>
                <w:color w:val="000000"/>
                <w:sz w:val="20"/>
                <w:szCs w:val="20"/>
              </w:rPr>
              <w:t>s</w:t>
            </w:r>
            <w:r w:rsidRPr="00BF6D8F">
              <w:rPr>
                <w:color w:val="000000"/>
                <w:sz w:val="20"/>
                <w:szCs w:val="20"/>
              </w:rPr>
              <w:t xml:space="preserve"> received training and support from the SENDCo to ensure effective assessment of </w:t>
            </w:r>
            <w:r w:rsidR="000E0360" w:rsidRPr="00BF6D8F">
              <w:rPr>
                <w:color w:val="000000"/>
                <w:sz w:val="20"/>
                <w:szCs w:val="20"/>
              </w:rPr>
              <w:t xml:space="preserve">SAL needs were identified early </w:t>
            </w:r>
            <w:r w:rsidR="004235E5" w:rsidRPr="00BF6D8F">
              <w:rPr>
                <w:color w:val="000000"/>
                <w:sz w:val="20"/>
                <w:szCs w:val="20"/>
              </w:rPr>
              <w:t>and effective intervention could be implemented</w:t>
            </w:r>
            <w:r w:rsidR="006E180E" w:rsidRPr="00BF6D8F">
              <w:rPr>
                <w:color w:val="000000"/>
                <w:sz w:val="20"/>
                <w:szCs w:val="20"/>
              </w:rPr>
              <w:t xml:space="preserve">. </w:t>
            </w:r>
          </w:p>
          <w:p w14:paraId="1193ADEC" w14:textId="77777777" w:rsidR="00BF6D8F" w:rsidRDefault="00BF6D8F" w:rsidP="000E22A7">
            <w:pPr>
              <w:spacing w:after="0" w:line="240" w:lineRule="auto"/>
              <w:contextualSpacing/>
              <w:rPr>
                <w:color w:val="000000"/>
                <w:sz w:val="20"/>
                <w:szCs w:val="20"/>
              </w:rPr>
            </w:pPr>
          </w:p>
          <w:p w14:paraId="3F6B48DD" w14:textId="0AE13E62" w:rsidR="004F28CB" w:rsidRDefault="006E180E" w:rsidP="000E22A7">
            <w:pPr>
              <w:spacing w:after="0" w:line="240" w:lineRule="auto"/>
              <w:contextualSpacing/>
              <w:rPr>
                <w:color w:val="000000"/>
                <w:sz w:val="20"/>
                <w:szCs w:val="20"/>
                <w:highlight w:val="yellow"/>
              </w:rPr>
            </w:pPr>
            <w:r w:rsidRPr="00BF6D8F">
              <w:rPr>
                <w:color w:val="000000"/>
                <w:sz w:val="20"/>
                <w:szCs w:val="20"/>
              </w:rPr>
              <w:t>TAs in LKS2 received training and support fr</w:t>
            </w:r>
            <w:r w:rsidR="008C5AD7">
              <w:rPr>
                <w:color w:val="000000"/>
                <w:sz w:val="20"/>
                <w:szCs w:val="20"/>
              </w:rPr>
              <w:t>o</w:t>
            </w:r>
            <w:r w:rsidRPr="00BF6D8F">
              <w:rPr>
                <w:color w:val="000000"/>
                <w:sz w:val="20"/>
                <w:szCs w:val="20"/>
              </w:rPr>
              <w:t xml:space="preserve">m the SENDCo to effectively implement and deliver consistent </w:t>
            </w:r>
            <w:r w:rsidR="00BF6D8F" w:rsidRPr="00BF6D8F">
              <w:rPr>
                <w:color w:val="000000"/>
                <w:sz w:val="20"/>
                <w:szCs w:val="20"/>
              </w:rPr>
              <w:t>literacy support through the Literacy Pathway</w:t>
            </w:r>
            <w:r w:rsidR="001C2E52">
              <w:rPr>
                <w:color w:val="000000"/>
                <w:sz w:val="20"/>
                <w:szCs w:val="20"/>
              </w:rPr>
              <w:t>.</w:t>
            </w:r>
            <w:r w:rsidR="00BF6D8F" w:rsidRPr="00BF6D8F">
              <w:rPr>
                <w:color w:val="000000"/>
                <w:sz w:val="20"/>
                <w:szCs w:val="20"/>
              </w:rPr>
              <w:t xml:space="preserve"> </w:t>
            </w:r>
          </w:p>
          <w:p w14:paraId="2A90AE0E" w14:textId="77777777" w:rsidR="00EA574C" w:rsidRDefault="00EA574C" w:rsidP="000E22A7">
            <w:pPr>
              <w:spacing w:after="0" w:line="240" w:lineRule="auto"/>
              <w:contextualSpacing/>
              <w:rPr>
                <w:color w:val="000000"/>
                <w:sz w:val="20"/>
                <w:szCs w:val="20"/>
                <w:highlight w:val="yellow"/>
              </w:rPr>
            </w:pPr>
          </w:p>
          <w:p w14:paraId="31BEEA21" w14:textId="226DABC8" w:rsidR="00EA574C" w:rsidRPr="00797FF6" w:rsidRDefault="00EA574C" w:rsidP="000E22A7">
            <w:pPr>
              <w:spacing w:after="0" w:line="240" w:lineRule="auto"/>
              <w:contextualSpacing/>
              <w:rPr>
                <w:color w:val="000000"/>
                <w:sz w:val="20"/>
                <w:szCs w:val="20"/>
              </w:rPr>
            </w:pPr>
            <w:r w:rsidRPr="00797FF6">
              <w:rPr>
                <w:color w:val="000000"/>
                <w:sz w:val="20"/>
                <w:szCs w:val="20"/>
              </w:rPr>
              <w:t xml:space="preserve">TAs received training through </w:t>
            </w:r>
            <w:proofErr w:type="spellStart"/>
            <w:r w:rsidRPr="00797FF6">
              <w:rPr>
                <w:color w:val="000000"/>
                <w:sz w:val="20"/>
                <w:szCs w:val="20"/>
              </w:rPr>
              <w:t>RWInc</w:t>
            </w:r>
            <w:proofErr w:type="spellEnd"/>
            <w:r w:rsidR="00835C67" w:rsidRPr="00797FF6">
              <w:rPr>
                <w:color w:val="000000"/>
                <w:sz w:val="20"/>
                <w:szCs w:val="20"/>
              </w:rPr>
              <w:t xml:space="preserve"> external trainers</w:t>
            </w:r>
            <w:r w:rsidRPr="00797FF6">
              <w:rPr>
                <w:color w:val="000000"/>
                <w:sz w:val="20"/>
                <w:szCs w:val="20"/>
              </w:rPr>
              <w:t xml:space="preserve"> and coaching from the Phonics </w:t>
            </w:r>
            <w:r w:rsidR="00835C67" w:rsidRPr="00797FF6">
              <w:rPr>
                <w:color w:val="000000"/>
                <w:sz w:val="20"/>
                <w:szCs w:val="20"/>
              </w:rPr>
              <w:t>L</w:t>
            </w:r>
            <w:r w:rsidRPr="00797FF6">
              <w:rPr>
                <w:color w:val="000000"/>
                <w:sz w:val="20"/>
                <w:szCs w:val="20"/>
              </w:rPr>
              <w:t xml:space="preserve">ead to </w:t>
            </w:r>
            <w:r w:rsidR="00835C67" w:rsidRPr="00797FF6">
              <w:rPr>
                <w:color w:val="000000"/>
                <w:sz w:val="20"/>
                <w:szCs w:val="20"/>
              </w:rPr>
              <w:t xml:space="preserve">deliver 1:1 tutoring sessions for </w:t>
            </w:r>
            <w:r w:rsidR="00797FF6" w:rsidRPr="00797FF6">
              <w:rPr>
                <w:color w:val="000000"/>
                <w:sz w:val="20"/>
                <w:szCs w:val="20"/>
              </w:rPr>
              <w:t>pupils in KS1</w:t>
            </w:r>
            <w:r w:rsidR="001C2E52">
              <w:rPr>
                <w:color w:val="000000"/>
                <w:sz w:val="20"/>
                <w:szCs w:val="20"/>
              </w:rPr>
              <w:t>.</w:t>
            </w:r>
          </w:p>
          <w:p w14:paraId="4AEB941E" w14:textId="77777777" w:rsidR="008B13D7" w:rsidRPr="008B13D7" w:rsidRDefault="008B13D7" w:rsidP="008B13D7">
            <w:pPr>
              <w:spacing w:after="0" w:line="240" w:lineRule="auto"/>
              <w:contextualSpacing/>
              <w:rPr>
                <w:color w:val="000000"/>
                <w:sz w:val="20"/>
                <w:szCs w:val="20"/>
              </w:rPr>
            </w:pPr>
          </w:p>
          <w:p w14:paraId="19F14E19"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Professional Development</w:t>
            </w:r>
          </w:p>
          <w:p w14:paraId="594DC902" w14:textId="749AB4BC" w:rsidR="008B13D7" w:rsidRPr="008B13D7" w:rsidRDefault="008B13D7" w:rsidP="000E22A7">
            <w:pPr>
              <w:spacing w:after="0" w:line="240" w:lineRule="auto"/>
              <w:contextualSpacing/>
              <w:rPr>
                <w:color w:val="000000"/>
                <w:sz w:val="20"/>
                <w:szCs w:val="20"/>
              </w:rPr>
            </w:pPr>
            <w:r w:rsidRPr="008B13D7">
              <w:rPr>
                <w:color w:val="000000"/>
                <w:sz w:val="20"/>
                <w:szCs w:val="20"/>
              </w:rPr>
              <w:t xml:space="preserve">High quality continuing professional development (CPD) was provided for staff, both through external agencies (such as Read Write Inc.) and school-based subject leaders. This ensured that teaching approaches remained effective and up-to-date, particularly in key areas such as </w:t>
            </w:r>
            <w:r w:rsidR="00CE4533">
              <w:rPr>
                <w:color w:val="000000"/>
                <w:sz w:val="20"/>
                <w:szCs w:val="20"/>
              </w:rPr>
              <w:t>English</w:t>
            </w:r>
            <w:r w:rsidRPr="008B13D7">
              <w:rPr>
                <w:color w:val="000000"/>
                <w:sz w:val="20"/>
                <w:szCs w:val="20"/>
              </w:rPr>
              <w:t>.</w:t>
            </w:r>
          </w:p>
          <w:p w14:paraId="182526D9" w14:textId="77777777" w:rsidR="008B13D7" w:rsidRPr="008B13D7" w:rsidRDefault="008B13D7" w:rsidP="000E22A7">
            <w:pPr>
              <w:spacing w:after="0" w:line="240" w:lineRule="auto"/>
              <w:ind w:left="720"/>
              <w:contextualSpacing/>
              <w:rPr>
                <w:color w:val="000000"/>
                <w:sz w:val="20"/>
                <w:szCs w:val="20"/>
              </w:rPr>
            </w:pPr>
          </w:p>
          <w:p w14:paraId="6450137E"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Reading Support and Leadership</w:t>
            </w:r>
          </w:p>
          <w:p w14:paraId="6F08BF9B" w14:textId="77777777" w:rsidR="008B13D7" w:rsidRPr="008B13D7" w:rsidRDefault="008B13D7" w:rsidP="000E22A7">
            <w:pPr>
              <w:spacing w:after="0" w:line="240" w:lineRule="auto"/>
              <w:contextualSpacing/>
              <w:rPr>
                <w:color w:val="000000"/>
                <w:sz w:val="20"/>
                <w:szCs w:val="20"/>
              </w:rPr>
            </w:pPr>
            <w:proofErr w:type="spellStart"/>
            <w:r w:rsidRPr="008B13D7">
              <w:rPr>
                <w:color w:val="000000"/>
                <w:sz w:val="20"/>
                <w:szCs w:val="20"/>
              </w:rPr>
              <w:t>RWInc</w:t>
            </w:r>
            <w:proofErr w:type="spellEnd"/>
            <w:r w:rsidRPr="008B13D7">
              <w:rPr>
                <w:color w:val="000000"/>
                <w:sz w:val="20"/>
                <w:szCs w:val="20"/>
              </w:rPr>
              <w:t xml:space="preserve"> (Read Write Inc.) coaching and guidance from the school’s reading lead further strengthened reading instruction, supporting staff in delivering consistent, high-quality phonics and reading lessons.</w:t>
            </w:r>
          </w:p>
          <w:p w14:paraId="3DABA0A9" w14:textId="77777777" w:rsidR="008B13D7" w:rsidRPr="008B13D7" w:rsidRDefault="008B13D7" w:rsidP="000E22A7">
            <w:pPr>
              <w:spacing w:after="0" w:line="240" w:lineRule="auto"/>
              <w:ind w:left="720"/>
              <w:contextualSpacing/>
              <w:rPr>
                <w:color w:val="000000"/>
                <w:sz w:val="20"/>
                <w:szCs w:val="20"/>
              </w:rPr>
            </w:pPr>
          </w:p>
          <w:p w14:paraId="7C3F36E7"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Pastoral Support</w:t>
            </w:r>
          </w:p>
          <w:p w14:paraId="202A2F03" w14:textId="6B93F6A4" w:rsidR="008B13D7" w:rsidRPr="008B13D7" w:rsidRDefault="008B13D7" w:rsidP="000E22A7">
            <w:pPr>
              <w:spacing w:after="0" w:line="240" w:lineRule="auto"/>
              <w:contextualSpacing/>
              <w:rPr>
                <w:color w:val="000000"/>
                <w:sz w:val="20"/>
                <w:szCs w:val="20"/>
              </w:rPr>
            </w:pPr>
            <w:r w:rsidRPr="008B13D7">
              <w:rPr>
                <w:color w:val="000000"/>
                <w:sz w:val="20"/>
                <w:szCs w:val="20"/>
              </w:rPr>
              <w:t xml:space="preserve">Recognising that some children faced barriers to learning beyond the academic, the school offered a range of pastoral support. This included input from the pastoral lead and participation in the Future </w:t>
            </w:r>
            <w:r w:rsidR="009C7779">
              <w:rPr>
                <w:color w:val="000000"/>
                <w:sz w:val="20"/>
                <w:szCs w:val="20"/>
              </w:rPr>
              <w:t>i</w:t>
            </w:r>
            <w:r w:rsidRPr="008B13D7">
              <w:rPr>
                <w:color w:val="000000"/>
                <w:sz w:val="20"/>
                <w:szCs w:val="20"/>
              </w:rPr>
              <w:t>n Mind programme, providing emotional and social wellbeing support for pupils in need.</w:t>
            </w:r>
          </w:p>
          <w:p w14:paraId="0D5A3992" w14:textId="77777777" w:rsidR="008B13D7" w:rsidRPr="008B13D7" w:rsidRDefault="008B13D7" w:rsidP="008B13D7">
            <w:pPr>
              <w:spacing w:after="0" w:line="240" w:lineRule="auto"/>
              <w:contextualSpacing/>
              <w:rPr>
                <w:color w:val="000000"/>
                <w:sz w:val="20"/>
                <w:szCs w:val="20"/>
              </w:rPr>
            </w:pPr>
          </w:p>
          <w:p w14:paraId="595F4159" w14:textId="77777777" w:rsidR="008B13D7" w:rsidRPr="008B13D7" w:rsidRDefault="008B13D7" w:rsidP="000E22A7">
            <w:pPr>
              <w:spacing w:after="0" w:line="240" w:lineRule="auto"/>
              <w:contextualSpacing/>
              <w:rPr>
                <w:b/>
                <w:bCs/>
                <w:color w:val="000000"/>
                <w:sz w:val="20"/>
                <w:szCs w:val="20"/>
              </w:rPr>
            </w:pPr>
            <w:r w:rsidRPr="008B13D7">
              <w:rPr>
                <w:b/>
                <w:bCs/>
                <w:color w:val="000000"/>
                <w:sz w:val="20"/>
                <w:szCs w:val="20"/>
              </w:rPr>
              <w:t>Enrichment Activities</w:t>
            </w:r>
          </w:p>
          <w:p w14:paraId="365ACCB9" w14:textId="77777777" w:rsidR="008B13D7" w:rsidRPr="008B13D7" w:rsidRDefault="008B13D7" w:rsidP="000E22A7">
            <w:pPr>
              <w:spacing w:after="0" w:line="240" w:lineRule="auto"/>
              <w:contextualSpacing/>
              <w:rPr>
                <w:color w:val="000000"/>
                <w:sz w:val="20"/>
                <w:szCs w:val="20"/>
              </w:rPr>
            </w:pPr>
            <w:r w:rsidRPr="008B13D7">
              <w:rPr>
                <w:color w:val="000000"/>
                <w:sz w:val="20"/>
                <w:szCs w:val="20"/>
              </w:rPr>
              <w:t>To broaden pupils' experiences and support holistic development, the school organised enrichment activities such as music lessons, residential trips, and a variety of school clubs. These opportunities helped foster a sense of belonging and engagement among all pupils.</w:t>
            </w:r>
          </w:p>
          <w:p w14:paraId="5A35A834" w14:textId="77777777" w:rsidR="000E22A7" w:rsidRDefault="000E22A7" w:rsidP="000E22A7">
            <w:pPr>
              <w:spacing w:after="0" w:line="240" w:lineRule="auto"/>
              <w:contextualSpacing/>
              <w:rPr>
                <w:color w:val="000000"/>
                <w:sz w:val="20"/>
                <w:szCs w:val="20"/>
              </w:rPr>
            </w:pPr>
          </w:p>
          <w:p w14:paraId="52023BD0" w14:textId="77777777" w:rsidR="000E22A7" w:rsidRDefault="008B13D7" w:rsidP="000E22A7">
            <w:pPr>
              <w:spacing w:after="0" w:line="240" w:lineRule="auto"/>
              <w:contextualSpacing/>
              <w:rPr>
                <w:color w:val="000000"/>
                <w:sz w:val="20"/>
                <w:szCs w:val="20"/>
              </w:rPr>
            </w:pPr>
            <w:r w:rsidRPr="008B13D7">
              <w:rPr>
                <w:color w:val="000000"/>
                <w:sz w:val="20"/>
                <w:szCs w:val="20"/>
              </w:rPr>
              <w:t>The data demonstrated that</w:t>
            </w:r>
            <w:r w:rsidR="000E22A7">
              <w:rPr>
                <w:color w:val="000000"/>
                <w:sz w:val="20"/>
                <w:szCs w:val="20"/>
              </w:rPr>
              <w:t>:</w:t>
            </w:r>
          </w:p>
          <w:p w14:paraId="39BE4BB5" w14:textId="77777777" w:rsidR="000E22A7" w:rsidRDefault="000E22A7" w:rsidP="000E22A7">
            <w:pPr>
              <w:pStyle w:val="ListParagraph"/>
              <w:numPr>
                <w:ilvl w:val="0"/>
                <w:numId w:val="15"/>
              </w:numPr>
              <w:spacing w:after="0" w:line="240" w:lineRule="auto"/>
              <w:rPr>
                <w:color w:val="000000"/>
                <w:sz w:val="20"/>
                <w:szCs w:val="20"/>
              </w:rPr>
            </w:pPr>
            <w:r w:rsidRPr="000E22A7">
              <w:rPr>
                <w:color w:val="000000"/>
                <w:sz w:val="20"/>
                <w:szCs w:val="20"/>
              </w:rPr>
              <w:lastRenderedPageBreak/>
              <w:t>PP pupils were represented in all after school clubs offered. These included a mix of physical and academic based clubs.</w:t>
            </w:r>
          </w:p>
          <w:p w14:paraId="2956B25E" w14:textId="3023C202" w:rsidR="0084166D" w:rsidRPr="000E22A7" w:rsidRDefault="0084166D" w:rsidP="000E22A7">
            <w:pPr>
              <w:pStyle w:val="ListParagraph"/>
              <w:numPr>
                <w:ilvl w:val="0"/>
                <w:numId w:val="15"/>
              </w:numPr>
              <w:spacing w:after="0" w:line="240" w:lineRule="auto"/>
              <w:rPr>
                <w:color w:val="000000"/>
                <w:sz w:val="20"/>
                <w:szCs w:val="20"/>
              </w:rPr>
            </w:pPr>
            <w:r>
              <w:rPr>
                <w:color w:val="000000"/>
                <w:sz w:val="20"/>
                <w:szCs w:val="20"/>
              </w:rPr>
              <w:t>PPG pupils represented the school on the Local Schools Debate Team</w:t>
            </w:r>
          </w:p>
          <w:p w14:paraId="2DE8CD9A" w14:textId="77777777" w:rsidR="000E22A7" w:rsidRDefault="000E22A7" w:rsidP="000E22A7">
            <w:pPr>
              <w:spacing w:after="0" w:line="240" w:lineRule="auto"/>
              <w:contextualSpacing/>
              <w:rPr>
                <w:color w:val="000000"/>
                <w:sz w:val="20"/>
                <w:szCs w:val="20"/>
              </w:rPr>
            </w:pPr>
          </w:p>
          <w:p w14:paraId="3CBD7768" w14:textId="11E1C473" w:rsidR="008B13D7" w:rsidRPr="007C55BE" w:rsidRDefault="008B13D7" w:rsidP="008B13D7">
            <w:pPr>
              <w:spacing w:after="0" w:line="240" w:lineRule="auto"/>
              <w:contextualSpacing/>
              <w:rPr>
                <w:color w:val="000000"/>
                <w:sz w:val="20"/>
                <w:szCs w:val="20"/>
              </w:rPr>
            </w:pPr>
            <w:r w:rsidRPr="008B13D7">
              <w:rPr>
                <w:color w:val="000000"/>
                <w:sz w:val="20"/>
                <w:szCs w:val="20"/>
              </w:rPr>
              <w:t>Based on all the information above, the performance of our disadvantaged pupils did not meet expectations, and we are at present not on course to achieve the outcomes we set out to achieve by 2027/28, as stated in the Intended Outcomes section above. Test and assessment data indicated that, despite several strong individual results, overall progress and attainment for disadvantaged pupils in 2024/25 fell below expectations</w:t>
            </w:r>
            <w:r w:rsidR="005755B9">
              <w:rPr>
                <w:color w:val="000000"/>
                <w:sz w:val="20"/>
                <w:szCs w:val="20"/>
              </w:rPr>
              <w:t xml:space="preserve"> across all year groups</w:t>
            </w:r>
            <w:r w:rsidRPr="008B13D7">
              <w:rPr>
                <w:color w:val="000000"/>
                <w:sz w:val="20"/>
                <w:szCs w:val="20"/>
              </w:rPr>
              <w:t>. Our evaluation of the approaches delivered last academic year indicates that the Stoke Speaks Out programme was particularly effective in identifying pupils with SAL needs, however, the intervention programmes put in place to address these needs were not delivered consistently. We have reviewed our strategy plan and made changes to how we intend to use some of our budget this academic year.</w:t>
            </w:r>
            <w:r w:rsidR="005755B9">
              <w:rPr>
                <w:color w:val="000000"/>
                <w:sz w:val="20"/>
                <w:szCs w:val="20"/>
              </w:rPr>
              <w:t xml:space="preserve"> Greater focus </w:t>
            </w:r>
            <w:r w:rsidR="004F28CB">
              <w:rPr>
                <w:color w:val="000000"/>
                <w:sz w:val="20"/>
                <w:szCs w:val="20"/>
              </w:rPr>
              <w:t xml:space="preserve">for PP pupils </w:t>
            </w:r>
            <w:r w:rsidR="005755B9">
              <w:rPr>
                <w:color w:val="000000"/>
                <w:sz w:val="20"/>
                <w:szCs w:val="20"/>
              </w:rPr>
              <w:t>over the next academic year will be placed on EYFS and Phonics</w:t>
            </w:r>
            <w:r w:rsidR="004F28CB">
              <w:rPr>
                <w:color w:val="000000"/>
                <w:sz w:val="20"/>
                <w:szCs w:val="20"/>
              </w:rPr>
              <w:t xml:space="preserve"> to ensure foundations start strong for our most vulnerable pupils. </w:t>
            </w:r>
          </w:p>
        </w:tc>
      </w:tr>
    </w:tbl>
    <w:p w14:paraId="112DA305" w14:textId="77777777" w:rsidR="00F67CD5" w:rsidRPr="0009471B" w:rsidRDefault="00F67CD5" w:rsidP="008B13D7"/>
    <w:p w14:paraId="54611D00" w14:textId="772E8B38" w:rsidR="009C7779" w:rsidRPr="009C7779" w:rsidRDefault="009C7779" w:rsidP="009C7779">
      <w:pPr>
        <w:pStyle w:val="Heading2"/>
        <w:spacing w:before="0" w:after="0"/>
        <w:rPr>
          <w:b/>
          <w:bCs/>
          <w:sz w:val="24"/>
          <w:szCs w:val="24"/>
        </w:rPr>
      </w:pPr>
      <w:r w:rsidRPr="009C7779">
        <w:rPr>
          <w:b/>
          <w:bCs/>
          <w:sz w:val="24"/>
          <w:szCs w:val="24"/>
        </w:rPr>
        <w:t>Externally Provided Programmes</w:t>
      </w:r>
    </w:p>
    <w:p w14:paraId="2CA261A4" w14:textId="77777777" w:rsidR="009C7779" w:rsidRPr="009C7779" w:rsidRDefault="009C7779" w:rsidP="009C7779">
      <w:pPr>
        <w:spacing w:after="0" w:line="240" w:lineRule="auto"/>
        <w:rPr>
          <w:i/>
          <w:iCs/>
          <w:sz w:val="20"/>
          <w:szCs w:val="20"/>
        </w:rPr>
      </w:pPr>
      <w:r w:rsidRPr="009C7779">
        <w:rPr>
          <w:i/>
          <w:iCs/>
          <w:sz w:val="20"/>
          <w:szCs w:val="20"/>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5307"/>
        <w:gridCol w:w="5149"/>
      </w:tblGrid>
      <w:tr w:rsidR="009C7779" w:rsidRPr="009C7779" w14:paraId="69011EA1" w14:textId="77777777" w:rsidTr="009C7779">
        <w:tc>
          <w:tcPr>
            <w:tcW w:w="530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C88A5D8" w14:textId="77777777" w:rsidR="009C7779" w:rsidRPr="009C7779" w:rsidRDefault="009C7779" w:rsidP="0031336B">
            <w:pPr>
              <w:pStyle w:val="TableHeader"/>
              <w:spacing w:before="0" w:after="0"/>
              <w:jc w:val="left"/>
              <w:rPr>
                <w:sz w:val="20"/>
                <w:szCs w:val="20"/>
              </w:rPr>
            </w:pPr>
            <w:r w:rsidRPr="009C7779">
              <w:rPr>
                <w:sz w:val="20"/>
                <w:szCs w:val="20"/>
              </w:rPr>
              <w:t>Programme</w:t>
            </w:r>
          </w:p>
        </w:tc>
        <w:tc>
          <w:tcPr>
            <w:tcW w:w="51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14F446E" w14:textId="77777777" w:rsidR="009C7779" w:rsidRPr="009C7779" w:rsidRDefault="009C7779" w:rsidP="0031336B">
            <w:pPr>
              <w:pStyle w:val="TableHeader"/>
              <w:spacing w:before="0" w:after="0"/>
              <w:jc w:val="left"/>
              <w:rPr>
                <w:sz w:val="20"/>
                <w:szCs w:val="20"/>
              </w:rPr>
            </w:pPr>
            <w:r w:rsidRPr="009C7779">
              <w:rPr>
                <w:sz w:val="20"/>
                <w:szCs w:val="20"/>
              </w:rPr>
              <w:t>Provider</w:t>
            </w:r>
          </w:p>
        </w:tc>
      </w:tr>
      <w:tr w:rsidR="009C7779" w:rsidRPr="009C7779" w14:paraId="4FEB8A83"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0EB31" w14:textId="596B3416" w:rsidR="009C7779" w:rsidRPr="009C7779" w:rsidRDefault="009C7779" w:rsidP="0031336B">
            <w:pPr>
              <w:pStyle w:val="TableRow"/>
              <w:spacing w:before="0" w:after="0"/>
              <w:rPr>
                <w:b/>
                <w:bCs/>
                <w:sz w:val="20"/>
                <w:szCs w:val="20"/>
              </w:rPr>
            </w:pPr>
            <w:r w:rsidRPr="009C7779">
              <w:rPr>
                <w:b/>
                <w:bCs/>
                <w:sz w:val="20"/>
                <w:szCs w:val="20"/>
              </w:rPr>
              <w:t>Energi</w:t>
            </w:r>
            <w:r w:rsidR="00A630FC">
              <w:rPr>
                <w:b/>
                <w:bCs/>
                <w:sz w:val="20"/>
                <w:szCs w:val="20"/>
              </w:rPr>
              <w:t>z</w:t>
            </w:r>
            <w:r w:rsidRPr="009C7779">
              <w:rPr>
                <w:b/>
                <w:bCs/>
                <w:sz w:val="20"/>
                <w:szCs w:val="20"/>
              </w:rPr>
              <w:t>e Programme</w:t>
            </w:r>
          </w:p>
          <w:p w14:paraId="1D4B9570" w14:textId="77777777" w:rsidR="009C7779" w:rsidRPr="009C7779" w:rsidRDefault="009C7779" w:rsidP="0031336B">
            <w:pPr>
              <w:pStyle w:val="TableRow"/>
              <w:spacing w:before="0" w:after="0"/>
              <w:rPr>
                <w:sz w:val="20"/>
                <w:szCs w:val="20"/>
              </w:rPr>
            </w:pPr>
            <w:r w:rsidRPr="009C7779">
              <w:rPr>
                <w:sz w:val="20"/>
                <w:szCs w:val="20"/>
              </w:rPr>
              <w:t>Encouraging KS2 pupils to think about healthy lifestyles – eating and exercise</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AD0C" w14:textId="446390F0" w:rsidR="009C7779" w:rsidRPr="009C7779" w:rsidRDefault="00A630FC" w:rsidP="0031336B">
            <w:pPr>
              <w:pStyle w:val="TableRowCentered"/>
              <w:spacing w:before="0" w:after="0"/>
              <w:jc w:val="left"/>
              <w:rPr>
                <w:sz w:val="20"/>
              </w:rPr>
            </w:pPr>
            <w:r>
              <w:rPr>
                <w:sz w:val="20"/>
              </w:rPr>
              <w:t xml:space="preserve">Shropshire </w:t>
            </w:r>
            <w:r w:rsidR="00752268">
              <w:rPr>
                <w:sz w:val="20"/>
              </w:rPr>
              <w:t>Telford and Wrekin Partnerships</w:t>
            </w:r>
          </w:p>
        </w:tc>
      </w:tr>
      <w:tr w:rsidR="009C7779" w:rsidRPr="009C7779" w14:paraId="571C5575"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DA5D3" w14:textId="77777777" w:rsidR="009C7779" w:rsidRPr="009C7779" w:rsidRDefault="009C7779" w:rsidP="0031336B">
            <w:pPr>
              <w:pStyle w:val="TableRow"/>
              <w:spacing w:before="0" w:after="0"/>
              <w:rPr>
                <w:b/>
                <w:bCs/>
                <w:sz w:val="20"/>
                <w:szCs w:val="20"/>
              </w:rPr>
            </w:pPr>
            <w:r w:rsidRPr="009C7779">
              <w:rPr>
                <w:b/>
                <w:bCs/>
                <w:sz w:val="20"/>
                <w:szCs w:val="20"/>
              </w:rPr>
              <w:t>Footprints Aspirations</w:t>
            </w:r>
          </w:p>
          <w:p w14:paraId="643F4825" w14:textId="77777777" w:rsidR="009C7779" w:rsidRPr="009C7779" w:rsidRDefault="009C7779" w:rsidP="0031336B">
            <w:pPr>
              <w:pStyle w:val="TableRow"/>
              <w:spacing w:before="0" w:after="0"/>
              <w:rPr>
                <w:sz w:val="20"/>
                <w:szCs w:val="20"/>
              </w:rPr>
            </w:pPr>
            <w:r w:rsidRPr="009C7779">
              <w:rPr>
                <w:sz w:val="20"/>
                <w:szCs w:val="20"/>
              </w:rPr>
              <w:t>Yr5 and Yr6 Aspirations event focusing on the world of work and supporting pupils to think about careers and jobs.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FB1FE" w14:textId="77777777" w:rsidR="009C7779" w:rsidRPr="009C7779" w:rsidRDefault="009C7779" w:rsidP="0031336B">
            <w:pPr>
              <w:pStyle w:val="TableRowCentered"/>
              <w:spacing w:before="0" w:after="0"/>
              <w:jc w:val="left"/>
              <w:rPr>
                <w:sz w:val="20"/>
              </w:rPr>
            </w:pPr>
            <w:r w:rsidRPr="009C7779">
              <w:rPr>
                <w:sz w:val="20"/>
              </w:rPr>
              <w:t>Telford and Wrekin Council</w:t>
            </w:r>
          </w:p>
        </w:tc>
      </w:tr>
      <w:tr w:rsidR="00EF4CB8" w:rsidRPr="009C7779" w14:paraId="341DDA19"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D2A9" w14:textId="77777777" w:rsidR="00EF4CB8" w:rsidRDefault="00EF4CB8" w:rsidP="0031336B">
            <w:pPr>
              <w:pStyle w:val="TableRow"/>
              <w:spacing w:before="0" w:after="0"/>
              <w:rPr>
                <w:b/>
                <w:bCs/>
                <w:sz w:val="20"/>
                <w:szCs w:val="20"/>
              </w:rPr>
            </w:pPr>
            <w:r>
              <w:rPr>
                <w:b/>
                <w:bCs/>
                <w:sz w:val="20"/>
                <w:szCs w:val="20"/>
              </w:rPr>
              <w:t>Whole Class Music lessons</w:t>
            </w:r>
          </w:p>
          <w:p w14:paraId="43125EF5" w14:textId="74FA8215" w:rsidR="00EF4CB8" w:rsidRPr="003C509D" w:rsidRDefault="003C509D" w:rsidP="0031336B">
            <w:pPr>
              <w:pStyle w:val="TableRow"/>
              <w:spacing w:before="0" w:after="0"/>
              <w:rPr>
                <w:sz w:val="20"/>
                <w:szCs w:val="20"/>
              </w:rPr>
            </w:pPr>
            <w:r w:rsidRPr="003C509D">
              <w:rPr>
                <w:sz w:val="20"/>
                <w:szCs w:val="20"/>
              </w:rPr>
              <w:t xml:space="preserve">All pupils in KS1 and KS2 are provided with </w:t>
            </w:r>
            <w:r>
              <w:rPr>
                <w:sz w:val="20"/>
                <w:szCs w:val="20"/>
              </w:rPr>
              <w:t xml:space="preserve">music </w:t>
            </w:r>
            <w:r w:rsidRPr="003C509D">
              <w:rPr>
                <w:sz w:val="20"/>
                <w:szCs w:val="20"/>
              </w:rPr>
              <w:t>lessons</w:t>
            </w:r>
            <w:r>
              <w:rPr>
                <w:sz w:val="20"/>
                <w:szCs w:val="20"/>
              </w:rPr>
              <w:t xml:space="preserve"> with a focus on </w:t>
            </w:r>
            <w:r w:rsidR="00AE0413">
              <w:rPr>
                <w:sz w:val="20"/>
                <w:szCs w:val="20"/>
              </w:rPr>
              <w:t>the playing of a musical instrument</w:t>
            </w:r>
            <w:r w:rsidRPr="003C509D">
              <w:rPr>
                <w:sz w:val="20"/>
                <w:szCs w:val="20"/>
              </w:rPr>
              <w:t>.</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C275" w14:textId="25A08B97" w:rsidR="00EF4CB8" w:rsidRPr="009C7779" w:rsidRDefault="00EF4CB8" w:rsidP="0031336B">
            <w:pPr>
              <w:pStyle w:val="TableRowCentered"/>
              <w:spacing w:before="0" w:after="0"/>
              <w:jc w:val="left"/>
              <w:rPr>
                <w:sz w:val="20"/>
              </w:rPr>
            </w:pPr>
            <w:r w:rsidRPr="009C7779">
              <w:rPr>
                <w:sz w:val="20"/>
              </w:rPr>
              <w:t>Telford Music Partnership</w:t>
            </w:r>
          </w:p>
        </w:tc>
      </w:tr>
      <w:tr w:rsidR="009C7779" w:rsidRPr="009C7779" w14:paraId="3F24708F"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50D4" w14:textId="77777777" w:rsidR="009C7779" w:rsidRPr="009C7779" w:rsidRDefault="009C7779" w:rsidP="0031336B">
            <w:pPr>
              <w:pStyle w:val="TableRow"/>
              <w:spacing w:before="0" w:after="0"/>
              <w:rPr>
                <w:b/>
                <w:bCs/>
                <w:sz w:val="20"/>
                <w:szCs w:val="20"/>
              </w:rPr>
            </w:pPr>
            <w:r w:rsidRPr="009C7779">
              <w:rPr>
                <w:b/>
                <w:bCs/>
                <w:sz w:val="20"/>
                <w:szCs w:val="20"/>
              </w:rPr>
              <w:t>1:1 Music Tuition</w:t>
            </w:r>
          </w:p>
          <w:p w14:paraId="34B4C15D" w14:textId="77777777" w:rsidR="009C7779" w:rsidRPr="009C7779" w:rsidRDefault="009C7779" w:rsidP="0031336B">
            <w:pPr>
              <w:pStyle w:val="TableRow"/>
              <w:spacing w:before="0" w:after="0"/>
              <w:rPr>
                <w:sz w:val="20"/>
                <w:szCs w:val="20"/>
              </w:rPr>
            </w:pPr>
            <w:r w:rsidRPr="009C7779">
              <w:rPr>
                <w:sz w:val="20"/>
                <w:szCs w:val="20"/>
              </w:rPr>
              <w:t>Providing funded 1:1 music tuition in a range of musical instruments for KS2 pupils.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AD971" w14:textId="77777777" w:rsidR="009C7779" w:rsidRPr="009C7779" w:rsidRDefault="009C7779" w:rsidP="0031336B">
            <w:pPr>
              <w:pStyle w:val="TableRowCentered"/>
              <w:spacing w:before="0" w:after="0"/>
              <w:jc w:val="left"/>
              <w:rPr>
                <w:sz w:val="20"/>
              </w:rPr>
            </w:pPr>
            <w:r w:rsidRPr="009C7779">
              <w:rPr>
                <w:sz w:val="20"/>
              </w:rPr>
              <w:t>Telford Music Partnership</w:t>
            </w:r>
          </w:p>
        </w:tc>
      </w:tr>
      <w:tr w:rsidR="009C7779" w:rsidRPr="009C7779" w14:paraId="4CF0939C"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7525" w14:textId="77777777" w:rsidR="009C7779" w:rsidRDefault="009C7779" w:rsidP="0031336B">
            <w:pPr>
              <w:pStyle w:val="TableRow"/>
              <w:spacing w:before="0" w:after="0"/>
              <w:rPr>
                <w:b/>
                <w:bCs/>
                <w:sz w:val="20"/>
                <w:szCs w:val="20"/>
              </w:rPr>
            </w:pPr>
            <w:proofErr w:type="spellStart"/>
            <w:r>
              <w:rPr>
                <w:b/>
                <w:bCs/>
                <w:sz w:val="20"/>
                <w:szCs w:val="20"/>
              </w:rPr>
              <w:t>Bikeability</w:t>
            </w:r>
            <w:proofErr w:type="spellEnd"/>
            <w:r>
              <w:rPr>
                <w:b/>
                <w:bCs/>
                <w:sz w:val="20"/>
                <w:szCs w:val="20"/>
              </w:rPr>
              <w:t xml:space="preserve"> </w:t>
            </w:r>
          </w:p>
          <w:p w14:paraId="2E0BE177" w14:textId="0E1CFF70" w:rsidR="009C7779" w:rsidRPr="00C30527" w:rsidRDefault="00C30527" w:rsidP="0031336B">
            <w:pPr>
              <w:pStyle w:val="TableRow"/>
              <w:spacing w:before="0" w:after="0"/>
              <w:rPr>
                <w:sz w:val="20"/>
                <w:szCs w:val="20"/>
              </w:rPr>
            </w:pPr>
            <w:r>
              <w:rPr>
                <w:sz w:val="20"/>
                <w:szCs w:val="20"/>
              </w:rPr>
              <w:t xml:space="preserve">National standard </w:t>
            </w:r>
            <w:proofErr w:type="spellStart"/>
            <w:r>
              <w:rPr>
                <w:sz w:val="20"/>
                <w:szCs w:val="20"/>
              </w:rPr>
              <w:t>bikeabilty</w:t>
            </w:r>
            <w:proofErr w:type="spellEnd"/>
            <w:r>
              <w:rPr>
                <w:sz w:val="20"/>
                <w:szCs w:val="20"/>
              </w:rPr>
              <w:t xml:space="preserve"> cycle training Level 1 and Level 2 offered to Yr</w:t>
            </w:r>
            <w:r w:rsidR="004D1CAC">
              <w:rPr>
                <w:sz w:val="20"/>
                <w:szCs w:val="20"/>
              </w:rPr>
              <w:t>5 and Yr6 pupils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BBC" w14:textId="7EC95685" w:rsidR="00C30527" w:rsidRDefault="00C30527" w:rsidP="0031336B">
            <w:pPr>
              <w:pStyle w:val="TableRowCentered"/>
              <w:spacing w:before="0" w:after="0"/>
              <w:jc w:val="left"/>
              <w:rPr>
                <w:sz w:val="20"/>
              </w:rPr>
            </w:pPr>
            <w:r>
              <w:rPr>
                <w:sz w:val="20"/>
              </w:rPr>
              <w:t xml:space="preserve">Active Travel England and the </w:t>
            </w:r>
            <w:proofErr w:type="spellStart"/>
            <w:r>
              <w:rPr>
                <w:sz w:val="20"/>
              </w:rPr>
              <w:t>Bikeabilty</w:t>
            </w:r>
            <w:proofErr w:type="spellEnd"/>
            <w:r>
              <w:rPr>
                <w:sz w:val="20"/>
              </w:rPr>
              <w:t xml:space="preserve"> Trust</w:t>
            </w:r>
          </w:p>
          <w:p w14:paraId="18D560D5" w14:textId="4752EEA4" w:rsidR="009C7779" w:rsidRPr="009C7779" w:rsidRDefault="004900DD" w:rsidP="0031336B">
            <w:pPr>
              <w:pStyle w:val="TableRowCentered"/>
              <w:spacing w:before="0" w:after="0"/>
              <w:jc w:val="left"/>
              <w:rPr>
                <w:sz w:val="20"/>
              </w:rPr>
            </w:pPr>
            <w:r>
              <w:rPr>
                <w:sz w:val="20"/>
              </w:rPr>
              <w:t>Travel Telford</w:t>
            </w:r>
          </w:p>
        </w:tc>
      </w:tr>
      <w:tr w:rsidR="00752268" w:rsidRPr="009C7779" w14:paraId="79043786"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63DED" w14:textId="77777777" w:rsidR="00752268" w:rsidRDefault="00752268" w:rsidP="0031336B">
            <w:pPr>
              <w:pStyle w:val="TableRow"/>
              <w:spacing w:before="0" w:after="0"/>
              <w:rPr>
                <w:b/>
                <w:bCs/>
                <w:sz w:val="20"/>
                <w:szCs w:val="20"/>
              </w:rPr>
            </w:pPr>
            <w:r>
              <w:rPr>
                <w:b/>
                <w:bCs/>
                <w:sz w:val="20"/>
                <w:szCs w:val="20"/>
              </w:rPr>
              <w:t>Quick Cricket</w:t>
            </w:r>
          </w:p>
          <w:p w14:paraId="65328628" w14:textId="3A9CD736" w:rsidR="003E6696" w:rsidRPr="003E6696" w:rsidRDefault="003E6696" w:rsidP="0031336B">
            <w:pPr>
              <w:pStyle w:val="TableRow"/>
              <w:spacing w:before="0" w:after="0"/>
              <w:rPr>
                <w:sz w:val="20"/>
                <w:szCs w:val="20"/>
              </w:rPr>
            </w:pPr>
            <w:r w:rsidRPr="003E6696">
              <w:rPr>
                <w:sz w:val="20"/>
                <w:szCs w:val="20"/>
              </w:rPr>
              <w:t>Quick cricket sessions offered to all KS2 pupils</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8424C" w14:textId="77777777" w:rsidR="00752268" w:rsidRDefault="00752268" w:rsidP="0031336B">
            <w:pPr>
              <w:pStyle w:val="TableRowCentered"/>
              <w:spacing w:before="0" w:after="0"/>
              <w:jc w:val="left"/>
              <w:rPr>
                <w:sz w:val="20"/>
              </w:rPr>
            </w:pPr>
          </w:p>
          <w:p w14:paraId="5E518911" w14:textId="77777777" w:rsidR="00752268" w:rsidRDefault="00752268" w:rsidP="0031336B">
            <w:pPr>
              <w:pStyle w:val="TableRowCentered"/>
              <w:spacing w:before="0" w:after="0"/>
              <w:jc w:val="left"/>
              <w:rPr>
                <w:sz w:val="20"/>
              </w:rPr>
            </w:pPr>
          </w:p>
        </w:tc>
      </w:tr>
      <w:tr w:rsidR="00EF4CB8" w:rsidRPr="009C7779" w14:paraId="0AB80B37" w14:textId="77777777" w:rsidTr="009C7779">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A3BE" w14:textId="77777777" w:rsidR="00E06CA4" w:rsidRDefault="00E06CA4" w:rsidP="0031336B">
            <w:pPr>
              <w:pStyle w:val="TableRow"/>
              <w:spacing w:before="0" w:after="0"/>
              <w:rPr>
                <w:b/>
                <w:bCs/>
                <w:sz w:val="20"/>
                <w:szCs w:val="20"/>
              </w:rPr>
            </w:pPr>
            <w:proofErr w:type="spellStart"/>
            <w:r>
              <w:rPr>
                <w:b/>
                <w:bCs/>
                <w:sz w:val="20"/>
                <w:szCs w:val="20"/>
              </w:rPr>
              <w:t>Sportsability</w:t>
            </w:r>
            <w:proofErr w:type="spellEnd"/>
          </w:p>
          <w:p w14:paraId="131CE7E0" w14:textId="43066E2A" w:rsidR="00EF4CB8" w:rsidRPr="00E06CA4" w:rsidRDefault="00E06CA4" w:rsidP="0031336B">
            <w:pPr>
              <w:pStyle w:val="TableRow"/>
              <w:spacing w:before="0" w:after="0"/>
              <w:rPr>
                <w:sz w:val="20"/>
                <w:szCs w:val="20"/>
              </w:rPr>
            </w:pPr>
            <w:r w:rsidRPr="00E06CA4">
              <w:rPr>
                <w:sz w:val="20"/>
                <w:szCs w:val="20"/>
              </w:rPr>
              <w:t xml:space="preserve">Providing pupils with access to several sport opportunities across a range of sporting activities, events and competitions.  </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FF8D" w14:textId="77777777" w:rsidR="00E06CA4" w:rsidRDefault="00E06CA4" w:rsidP="0031336B">
            <w:pPr>
              <w:pStyle w:val="TableRowCentered"/>
              <w:spacing w:before="0" w:after="0"/>
              <w:jc w:val="left"/>
              <w:rPr>
                <w:sz w:val="20"/>
              </w:rPr>
            </w:pPr>
            <w:r>
              <w:rPr>
                <w:sz w:val="20"/>
              </w:rPr>
              <w:t>Youth Sprots Trust</w:t>
            </w:r>
          </w:p>
          <w:p w14:paraId="02D35444" w14:textId="3788BDF4" w:rsidR="00EF4CB8" w:rsidRDefault="00E06CA4" w:rsidP="0031336B">
            <w:pPr>
              <w:pStyle w:val="TableRowCentered"/>
              <w:spacing w:before="0" w:after="0"/>
              <w:jc w:val="left"/>
              <w:rPr>
                <w:sz w:val="20"/>
              </w:rPr>
            </w:pPr>
            <w:r>
              <w:rPr>
                <w:sz w:val="20"/>
              </w:rPr>
              <w:t>Telford and Wrekin</w:t>
            </w:r>
          </w:p>
          <w:p w14:paraId="56F8328C" w14:textId="3DABFD86" w:rsidR="00E06CA4" w:rsidRDefault="00E06CA4" w:rsidP="0031336B">
            <w:pPr>
              <w:pStyle w:val="TableRowCentered"/>
              <w:spacing w:before="0" w:after="0"/>
              <w:jc w:val="left"/>
              <w:rPr>
                <w:sz w:val="20"/>
              </w:rPr>
            </w:pPr>
          </w:p>
        </w:tc>
      </w:tr>
    </w:tbl>
    <w:p w14:paraId="73FEF3BD" w14:textId="77777777" w:rsidR="009C7779" w:rsidRDefault="009C7779" w:rsidP="009C7779">
      <w:pPr>
        <w:spacing w:after="0" w:line="240" w:lineRule="auto"/>
        <w:rPr>
          <w:sz w:val="20"/>
          <w:szCs w:val="20"/>
        </w:rPr>
      </w:pPr>
    </w:p>
    <w:p w14:paraId="06EDE23F" w14:textId="77777777" w:rsidR="009C7779" w:rsidRPr="009C7779" w:rsidRDefault="009C7779" w:rsidP="009C7779">
      <w:pPr>
        <w:spacing w:after="0" w:line="240" w:lineRule="auto"/>
        <w:rPr>
          <w:sz w:val="20"/>
          <w:szCs w:val="20"/>
        </w:rPr>
      </w:pPr>
    </w:p>
    <w:p w14:paraId="16D9990B" w14:textId="5BA8F099" w:rsidR="009C7779" w:rsidRPr="009C7779" w:rsidRDefault="009C7779" w:rsidP="009C7779">
      <w:pPr>
        <w:pStyle w:val="Heading2"/>
        <w:spacing w:before="0" w:after="0"/>
        <w:rPr>
          <w:b/>
          <w:bCs/>
          <w:sz w:val="24"/>
          <w:szCs w:val="24"/>
        </w:rPr>
      </w:pPr>
      <w:r w:rsidRPr="009C7779">
        <w:rPr>
          <w:b/>
          <w:bCs/>
          <w:sz w:val="24"/>
          <w:szCs w:val="24"/>
        </w:rPr>
        <w:t xml:space="preserve">Service </w:t>
      </w:r>
      <w:r>
        <w:rPr>
          <w:b/>
          <w:bCs/>
          <w:sz w:val="24"/>
          <w:szCs w:val="24"/>
        </w:rPr>
        <w:t>P</w:t>
      </w:r>
      <w:r w:rsidRPr="009C7779">
        <w:rPr>
          <w:b/>
          <w:bCs/>
          <w:sz w:val="24"/>
          <w:szCs w:val="24"/>
        </w:rPr>
        <w:t xml:space="preserve">upil </w:t>
      </w:r>
      <w:r>
        <w:rPr>
          <w:b/>
          <w:bCs/>
          <w:sz w:val="24"/>
          <w:szCs w:val="24"/>
        </w:rPr>
        <w:t>P</w:t>
      </w:r>
      <w:r w:rsidRPr="009C7779">
        <w:rPr>
          <w:b/>
          <w:bCs/>
          <w:sz w:val="24"/>
          <w:szCs w:val="24"/>
        </w:rPr>
        <w:t xml:space="preserve">remium </w:t>
      </w:r>
      <w:r>
        <w:rPr>
          <w:b/>
          <w:bCs/>
          <w:sz w:val="24"/>
          <w:szCs w:val="24"/>
        </w:rPr>
        <w:t>F</w:t>
      </w:r>
      <w:r w:rsidRPr="009C7779">
        <w:rPr>
          <w:b/>
          <w:bCs/>
          <w:sz w:val="24"/>
          <w:szCs w:val="24"/>
        </w:rPr>
        <w:t>unding (optional)</w:t>
      </w:r>
    </w:p>
    <w:tbl>
      <w:tblPr>
        <w:tblStyle w:val="TableGrid"/>
        <w:tblW w:w="10485" w:type="dxa"/>
        <w:tblLook w:val="04A0" w:firstRow="1" w:lastRow="0" w:firstColumn="1" w:lastColumn="0" w:noHBand="0" w:noVBand="1"/>
      </w:tblPr>
      <w:tblGrid>
        <w:gridCol w:w="10485"/>
      </w:tblGrid>
      <w:tr w:rsidR="009C7779" w:rsidRPr="009C7779" w14:paraId="4D22F798" w14:textId="77777777" w:rsidTr="009C7779">
        <w:tc>
          <w:tcPr>
            <w:tcW w:w="10485" w:type="dxa"/>
            <w:shd w:val="clear" w:color="auto" w:fill="CFDCE3"/>
          </w:tcPr>
          <w:p w14:paraId="34D0E661" w14:textId="77777777" w:rsidR="009C7779" w:rsidRPr="009C7779" w:rsidRDefault="009C7779" w:rsidP="0031336B">
            <w:pPr>
              <w:spacing w:after="0" w:line="240" w:lineRule="auto"/>
              <w:rPr>
                <w:b/>
                <w:bCs/>
              </w:rPr>
            </w:pPr>
            <w:r w:rsidRPr="009C7779">
              <w:rPr>
                <w:i/>
                <w:iCs/>
              </w:rPr>
              <w:t xml:space="preserve">For schools that receive this funding, you may wish to provide the following information: </w:t>
            </w:r>
            <w:r w:rsidRPr="009C7779">
              <w:rPr>
                <w:b/>
                <w:bCs/>
                <w:color w:val="000000"/>
              </w:rPr>
              <w:t>How our service pupil premium allocation was spent last academic year</w:t>
            </w:r>
          </w:p>
        </w:tc>
      </w:tr>
      <w:tr w:rsidR="009C7779" w:rsidRPr="009C7779" w14:paraId="09D48AAE" w14:textId="77777777" w:rsidTr="009C7779">
        <w:tc>
          <w:tcPr>
            <w:tcW w:w="10485" w:type="dxa"/>
          </w:tcPr>
          <w:p w14:paraId="518172AF" w14:textId="77777777" w:rsidR="009C7779" w:rsidRPr="009C7779" w:rsidRDefault="009C7779" w:rsidP="009C7779">
            <w:pPr>
              <w:numPr>
                <w:ilvl w:val="0"/>
                <w:numId w:val="4"/>
              </w:numPr>
              <w:spacing w:after="0" w:line="240" w:lineRule="auto"/>
              <w:rPr>
                <w:color w:val="000000"/>
              </w:rPr>
            </w:pPr>
            <w:r w:rsidRPr="009C7779">
              <w:rPr>
                <w:color w:val="000000"/>
              </w:rPr>
              <w:t>Pastoral Support has been provided to support the emotional needs of service children and</w:t>
            </w:r>
          </w:p>
          <w:p w14:paraId="6E199610" w14:textId="77777777" w:rsidR="009C7779" w:rsidRPr="009C7779" w:rsidRDefault="009C7779" w:rsidP="009C7779">
            <w:pPr>
              <w:numPr>
                <w:ilvl w:val="0"/>
                <w:numId w:val="4"/>
              </w:numPr>
              <w:spacing w:after="0" w:line="240" w:lineRule="auto"/>
              <w:rPr>
                <w:color w:val="000000"/>
              </w:rPr>
            </w:pPr>
            <w:r w:rsidRPr="009C7779">
              <w:rPr>
                <w:color w:val="000000"/>
              </w:rPr>
              <w:t xml:space="preserve">their families. </w:t>
            </w:r>
          </w:p>
          <w:p w14:paraId="669ED2A1" w14:textId="77777777" w:rsidR="009C7779" w:rsidRPr="009C7779" w:rsidRDefault="009C7779" w:rsidP="009C7779">
            <w:pPr>
              <w:numPr>
                <w:ilvl w:val="0"/>
                <w:numId w:val="4"/>
              </w:numPr>
              <w:spacing w:after="0" w:line="240" w:lineRule="auto"/>
              <w:rPr>
                <w:color w:val="000000"/>
              </w:rPr>
            </w:pPr>
          </w:p>
          <w:p w14:paraId="76035D33" w14:textId="77777777" w:rsidR="009C7779" w:rsidRPr="009C7779" w:rsidRDefault="009C7779" w:rsidP="009C7779">
            <w:pPr>
              <w:numPr>
                <w:ilvl w:val="0"/>
                <w:numId w:val="4"/>
              </w:numPr>
              <w:spacing w:after="0" w:line="240" w:lineRule="auto"/>
              <w:rPr>
                <w:color w:val="000000"/>
              </w:rPr>
            </w:pPr>
            <w:r w:rsidRPr="009C7779">
              <w:rPr>
                <w:color w:val="000000"/>
              </w:rPr>
              <w:t xml:space="preserve">In 2024/2025 none of our service pupil premium children had parents that were deployed, although regular pastoral support was on going throughout the year. </w:t>
            </w:r>
          </w:p>
          <w:p w14:paraId="7A1B7140" w14:textId="77777777" w:rsidR="009C7779" w:rsidRPr="009C7779" w:rsidRDefault="009C7779" w:rsidP="009C7779">
            <w:pPr>
              <w:numPr>
                <w:ilvl w:val="0"/>
                <w:numId w:val="4"/>
              </w:numPr>
              <w:spacing w:after="0" w:line="240" w:lineRule="auto"/>
            </w:pPr>
          </w:p>
        </w:tc>
      </w:tr>
      <w:tr w:rsidR="009C7779" w:rsidRPr="009C7779" w14:paraId="5323E56F" w14:textId="77777777" w:rsidTr="009C7779">
        <w:tc>
          <w:tcPr>
            <w:tcW w:w="10485" w:type="dxa"/>
            <w:shd w:val="clear" w:color="auto" w:fill="CFDCE3"/>
          </w:tcPr>
          <w:p w14:paraId="39D8F460" w14:textId="77777777" w:rsidR="009C7779" w:rsidRPr="009C7779" w:rsidRDefault="009C7779" w:rsidP="0031336B">
            <w:pPr>
              <w:spacing w:after="0" w:line="240" w:lineRule="auto"/>
              <w:rPr>
                <w:b/>
                <w:bCs/>
              </w:rPr>
            </w:pPr>
            <w:r w:rsidRPr="009C7779">
              <w:rPr>
                <w:b/>
                <w:bCs/>
                <w:color w:val="000000"/>
              </w:rPr>
              <w:t>The impact of that spending on service pupil premium eligible pupils</w:t>
            </w:r>
          </w:p>
        </w:tc>
      </w:tr>
      <w:tr w:rsidR="009C7779" w:rsidRPr="009C7779" w14:paraId="3328B966" w14:textId="77777777" w:rsidTr="009C7779">
        <w:tc>
          <w:tcPr>
            <w:tcW w:w="10485" w:type="dxa"/>
          </w:tcPr>
          <w:p w14:paraId="2325B602" w14:textId="77777777" w:rsidR="009C7779" w:rsidRPr="009C7779" w:rsidRDefault="009C7779" w:rsidP="009C7779">
            <w:pPr>
              <w:numPr>
                <w:ilvl w:val="0"/>
                <w:numId w:val="4"/>
              </w:numPr>
              <w:spacing w:after="0" w:line="240" w:lineRule="auto"/>
              <w:rPr>
                <w:color w:val="000000"/>
              </w:rPr>
            </w:pPr>
          </w:p>
          <w:p w14:paraId="78C426AB" w14:textId="77777777" w:rsidR="009C7779" w:rsidRPr="009C7779" w:rsidRDefault="009C7779" w:rsidP="0031336B">
            <w:pPr>
              <w:spacing w:after="0" w:line="240" w:lineRule="auto"/>
              <w:rPr>
                <w:color w:val="000000"/>
              </w:rPr>
            </w:pPr>
            <w:r w:rsidRPr="009C7779">
              <w:rPr>
                <w:color w:val="000000"/>
              </w:rPr>
              <w:t>Teachers and parents have identified improvements in the emotional wellbeing of</w:t>
            </w:r>
          </w:p>
          <w:p w14:paraId="180C53F4" w14:textId="77777777" w:rsidR="009C7779" w:rsidRPr="009C7779" w:rsidRDefault="009C7779" w:rsidP="009C7779">
            <w:pPr>
              <w:numPr>
                <w:ilvl w:val="0"/>
                <w:numId w:val="4"/>
              </w:numPr>
              <w:spacing w:after="0" w:line="240" w:lineRule="auto"/>
              <w:rPr>
                <w:color w:val="000000"/>
              </w:rPr>
            </w:pPr>
            <w:r w:rsidRPr="009C7779">
              <w:rPr>
                <w:color w:val="000000"/>
              </w:rPr>
              <w:t>service children, enabling them to achieve as well as or if not better than their peers.</w:t>
            </w:r>
          </w:p>
          <w:p w14:paraId="2BFD656C" w14:textId="77777777" w:rsidR="009C7779" w:rsidRPr="009C7779" w:rsidRDefault="009C7779" w:rsidP="009C7779">
            <w:pPr>
              <w:numPr>
                <w:ilvl w:val="0"/>
                <w:numId w:val="4"/>
              </w:numPr>
              <w:spacing w:after="0" w:line="240" w:lineRule="auto"/>
              <w:rPr>
                <w:color w:val="000000"/>
              </w:rPr>
            </w:pPr>
          </w:p>
        </w:tc>
      </w:tr>
    </w:tbl>
    <w:p w14:paraId="3C5D5DBD" w14:textId="77777777" w:rsidR="009C7779" w:rsidRDefault="009C7779" w:rsidP="009C7779">
      <w:pPr>
        <w:spacing w:after="0" w:line="240" w:lineRule="auto"/>
      </w:pPr>
    </w:p>
    <w:p w14:paraId="3CAB8D0B" w14:textId="77777777" w:rsidR="00BE188C" w:rsidRPr="00BE188C" w:rsidRDefault="00BE188C" w:rsidP="00BE188C">
      <w:pPr>
        <w:spacing w:after="0" w:line="240" w:lineRule="auto"/>
        <w:rPr>
          <w:b/>
          <w:bCs/>
          <w:color w:val="002060"/>
        </w:rPr>
      </w:pPr>
    </w:p>
    <w:sectPr w:rsidR="00BE188C" w:rsidRPr="00BE188C" w:rsidSect="00BE1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BD"/>
    <w:multiLevelType w:val="hybridMultilevel"/>
    <w:tmpl w:val="F6E8C46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9033374"/>
    <w:multiLevelType w:val="hybridMultilevel"/>
    <w:tmpl w:val="3D6A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6042FC8"/>
    <w:multiLevelType w:val="hybridMultilevel"/>
    <w:tmpl w:val="79728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C0057A"/>
    <w:multiLevelType w:val="hybridMultilevel"/>
    <w:tmpl w:val="96A8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07F63"/>
    <w:multiLevelType w:val="hybridMultilevel"/>
    <w:tmpl w:val="88E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9526A"/>
    <w:multiLevelType w:val="hybridMultilevel"/>
    <w:tmpl w:val="E280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9335F"/>
    <w:multiLevelType w:val="hybridMultilevel"/>
    <w:tmpl w:val="F1A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644FA"/>
    <w:multiLevelType w:val="hybridMultilevel"/>
    <w:tmpl w:val="C14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19FD"/>
    <w:multiLevelType w:val="hybridMultilevel"/>
    <w:tmpl w:val="79EE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77C35"/>
    <w:multiLevelType w:val="hybridMultilevel"/>
    <w:tmpl w:val="C67C3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026E4A"/>
    <w:multiLevelType w:val="hybridMultilevel"/>
    <w:tmpl w:val="C178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30ACE"/>
    <w:multiLevelType w:val="hybridMultilevel"/>
    <w:tmpl w:val="7CAA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60EE6"/>
    <w:multiLevelType w:val="hybridMultilevel"/>
    <w:tmpl w:val="753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F56A8"/>
    <w:multiLevelType w:val="hybridMultilevel"/>
    <w:tmpl w:val="81A0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D7E90"/>
    <w:multiLevelType w:val="hybridMultilevel"/>
    <w:tmpl w:val="7D464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F27E1C"/>
    <w:multiLevelType w:val="hybridMultilevel"/>
    <w:tmpl w:val="2ED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2034F"/>
    <w:multiLevelType w:val="hybridMultilevel"/>
    <w:tmpl w:val="370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48153">
    <w:abstractNumId w:val="16"/>
  </w:num>
  <w:num w:numId="2" w16cid:durableId="882474767">
    <w:abstractNumId w:val="6"/>
  </w:num>
  <w:num w:numId="3" w16cid:durableId="1620911679">
    <w:abstractNumId w:val="0"/>
  </w:num>
  <w:num w:numId="4" w16cid:durableId="94711259">
    <w:abstractNumId w:val="2"/>
  </w:num>
  <w:num w:numId="5" w16cid:durableId="1585144825">
    <w:abstractNumId w:val="1"/>
  </w:num>
  <w:num w:numId="6" w16cid:durableId="1035689214">
    <w:abstractNumId w:val="8"/>
  </w:num>
  <w:num w:numId="7" w16cid:durableId="959922221">
    <w:abstractNumId w:val="5"/>
  </w:num>
  <w:num w:numId="8" w16cid:durableId="1704401964">
    <w:abstractNumId w:val="13"/>
  </w:num>
  <w:num w:numId="9" w16cid:durableId="348684044">
    <w:abstractNumId w:val="7"/>
  </w:num>
  <w:num w:numId="10" w16cid:durableId="1158498418">
    <w:abstractNumId w:val="17"/>
  </w:num>
  <w:num w:numId="11" w16cid:durableId="445389414">
    <w:abstractNumId w:val="18"/>
  </w:num>
  <w:num w:numId="12" w16cid:durableId="1485701368">
    <w:abstractNumId w:val="11"/>
  </w:num>
  <w:num w:numId="13" w16cid:durableId="2103448655">
    <w:abstractNumId w:val="12"/>
  </w:num>
  <w:num w:numId="14" w16cid:durableId="2098944824">
    <w:abstractNumId w:val="4"/>
  </w:num>
  <w:num w:numId="15" w16cid:durableId="5795232">
    <w:abstractNumId w:val="14"/>
  </w:num>
  <w:num w:numId="16" w16cid:durableId="1668555546">
    <w:abstractNumId w:val="10"/>
  </w:num>
  <w:num w:numId="17" w16cid:durableId="687413373">
    <w:abstractNumId w:val="3"/>
  </w:num>
  <w:num w:numId="18" w16cid:durableId="1277760936">
    <w:abstractNumId w:val="15"/>
  </w:num>
  <w:num w:numId="19" w16cid:durableId="81295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8C"/>
    <w:rsid w:val="00023BDC"/>
    <w:rsid w:val="00025D82"/>
    <w:rsid w:val="00033C49"/>
    <w:rsid w:val="00063854"/>
    <w:rsid w:val="000E0360"/>
    <w:rsid w:val="000E22A7"/>
    <w:rsid w:val="00106784"/>
    <w:rsid w:val="0011595B"/>
    <w:rsid w:val="00176E60"/>
    <w:rsid w:val="001B013D"/>
    <w:rsid w:val="001C2E52"/>
    <w:rsid w:val="00237925"/>
    <w:rsid w:val="002950CE"/>
    <w:rsid w:val="002A57E8"/>
    <w:rsid w:val="002B7A42"/>
    <w:rsid w:val="002F3E28"/>
    <w:rsid w:val="002F48A3"/>
    <w:rsid w:val="00327B48"/>
    <w:rsid w:val="00330AA5"/>
    <w:rsid w:val="00372E13"/>
    <w:rsid w:val="00384087"/>
    <w:rsid w:val="003876D9"/>
    <w:rsid w:val="003B4C45"/>
    <w:rsid w:val="003C509D"/>
    <w:rsid w:val="003E6696"/>
    <w:rsid w:val="004235E5"/>
    <w:rsid w:val="004900DD"/>
    <w:rsid w:val="00491074"/>
    <w:rsid w:val="004C3664"/>
    <w:rsid w:val="004D1CAC"/>
    <w:rsid w:val="004E1AA7"/>
    <w:rsid w:val="004F28CB"/>
    <w:rsid w:val="00562CF6"/>
    <w:rsid w:val="005755B9"/>
    <w:rsid w:val="005E575E"/>
    <w:rsid w:val="005F7750"/>
    <w:rsid w:val="00690FD7"/>
    <w:rsid w:val="006E180E"/>
    <w:rsid w:val="0070311A"/>
    <w:rsid w:val="00721ED6"/>
    <w:rsid w:val="00724E2C"/>
    <w:rsid w:val="00744079"/>
    <w:rsid w:val="00752268"/>
    <w:rsid w:val="00795B33"/>
    <w:rsid w:val="00797FF6"/>
    <w:rsid w:val="007A3494"/>
    <w:rsid w:val="007A632B"/>
    <w:rsid w:val="007A6CC6"/>
    <w:rsid w:val="007B039D"/>
    <w:rsid w:val="007B3DD0"/>
    <w:rsid w:val="007C55BE"/>
    <w:rsid w:val="0083111E"/>
    <w:rsid w:val="00835C67"/>
    <w:rsid w:val="00837707"/>
    <w:rsid w:val="0084166D"/>
    <w:rsid w:val="0086705B"/>
    <w:rsid w:val="00877E2B"/>
    <w:rsid w:val="0089347E"/>
    <w:rsid w:val="008A1E59"/>
    <w:rsid w:val="008B13D7"/>
    <w:rsid w:val="008C5AD7"/>
    <w:rsid w:val="008D419A"/>
    <w:rsid w:val="008F0AAE"/>
    <w:rsid w:val="00917564"/>
    <w:rsid w:val="009345B4"/>
    <w:rsid w:val="00952639"/>
    <w:rsid w:val="009C7779"/>
    <w:rsid w:val="009D2607"/>
    <w:rsid w:val="009F0173"/>
    <w:rsid w:val="00A17A66"/>
    <w:rsid w:val="00A630FC"/>
    <w:rsid w:val="00A7662A"/>
    <w:rsid w:val="00A802C3"/>
    <w:rsid w:val="00AB6477"/>
    <w:rsid w:val="00AC11A0"/>
    <w:rsid w:val="00AD2FAC"/>
    <w:rsid w:val="00AE0413"/>
    <w:rsid w:val="00AF698A"/>
    <w:rsid w:val="00B122F9"/>
    <w:rsid w:val="00B26717"/>
    <w:rsid w:val="00B430F5"/>
    <w:rsid w:val="00B46E3E"/>
    <w:rsid w:val="00B71892"/>
    <w:rsid w:val="00B86D92"/>
    <w:rsid w:val="00B9103D"/>
    <w:rsid w:val="00BD54AB"/>
    <w:rsid w:val="00BE188C"/>
    <w:rsid w:val="00BE4123"/>
    <w:rsid w:val="00BF50D7"/>
    <w:rsid w:val="00BF6D8F"/>
    <w:rsid w:val="00C30527"/>
    <w:rsid w:val="00C46256"/>
    <w:rsid w:val="00C638E5"/>
    <w:rsid w:val="00CA1147"/>
    <w:rsid w:val="00CB2329"/>
    <w:rsid w:val="00CC20CA"/>
    <w:rsid w:val="00CE4533"/>
    <w:rsid w:val="00CE4923"/>
    <w:rsid w:val="00CE7B05"/>
    <w:rsid w:val="00CF3623"/>
    <w:rsid w:val="00D415DB"/>
    <w:rsid w:val="00D650F2"/>
    <w:rsid w:val="00DC071E"/>
    <w:rsid w:val="00DD2743"/>
    <w:rsid w:val="00E06537"/>
    <w:rsid w:val="00E06CA4"/>
    <w:rsid w:val="00E274B5"/>
    <w:rsid w:val="00E52274"/>
    <w:rsid w:val="00E54A83"/>
    <w:rsid w:val="00E576EE"/>
    <w:rsid w:val="00E62878"/>
    <w:rsid w:val="00E67C99"/>
    <w:rsid w:val="00E75EE9"/>
    <w:rsid w:val="00E84FEE"/>
    <w:rsid w:val="00EA574C"/>
    <w:rsid w:val="00ED52D9"/>
    <w:rsid w:val="00EF2A2C"/>
    <w:rsid w:val="00EF4CB8"/>
    <w:rsid w:val="00F20BC9"/>
    <w:rsid w:val="00F30391"/>
    <w:rsid w:val="00F67CD5"/>
    <w:rsid w:val="00F709DE"/>
    <w:rsid w:val="00FE4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DED9"/>
  <w15:chartTrackingRefBased/>
  <w15:docId w15:val="{A48097BF-01B5-426D-B704-AC745FCA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8C"/>
    <w:pPr>
      <w:suppressAutoHyphens/>
      <w:autoSpaceDN w:val="0"/>
      <w:spacing w:after="240" w:line="288" w:lineRule="auto"/>
    </w:pPr>
    <w:rPr>
      <w:rFonts w:ascii="Arial" w:eastAsia="Times New Roman" w:hAnsi="Arial" w:cs="Times New Roman"/>
      <w:color w:val="0D0D0D"/>
      <w:kern w:val="0"/>
      <w:lang w:eastAsia="en-GB"/>
      <w14:ligatures w14:val="none"/>
    </w:rPr>
  </w:style>
  <w:style w:type="paragraph" w:styleId="Heading1">
    <w:name w:val="heading 1"/>
    <w:basedOn w:val="Normal"/>
    <w:next w:val="Normal"/>
    <w:link w:val="Heading1Char"/>
    <w:uiPriority w:val="9"/>
    <w:qFormat/>
    <w:rsid w:val="00BE1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E1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E1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E1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1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88C"/>
    <w:rPr>
      <w:rFonts w:eastAsiaTheme="majorEastAsia" w:cstheme="majorBidi"/>
      <w:color w:val="272727" w:themeColor="text1" w:themeTint="D8"/>
    </w:rPr>
  </w:style>
  <w:style w:type="paragraph" w:styleId="Title">
    <w:name w:val="Title"/>
    <w:basedOn w:val="Normal"/>
    <w:next w:val="Normal"/>
    <w:link w:val="TitleChar"/>
    <w:uiPriority w:val="10"/>
    <w:qFormat/>
    <w:rsid w:val="00BE1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88C"/>
    <w:pPr>
      <w:spacing w:before="160"/>
      <w:jc w:val="center"/>
    </w:pPr>
    <w:rPr>
      <w:i/>
      <w:iCs/>
      <w:color w:val="404040" w:themeColor="text1" w:themeTint="BF"/>
    </w:rPr>
  </w:style>
  <w:style w:type="character" w:customStyle="1" w:styleId="QuoteChar">
    <w:name w:val="Quote Char"/>
    <w:basedOn w:val="DefaultParagraphFont"/>
    <w:link w:val="Quote"/>
    <w:uiPriority w:val="29"/>
    <w:rsid w:val="00BE188C"/>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BE188C"/>
    <w:pPr>
      <w:ind w:left="720"/>
      <w:contextualSpacing/>
    </w:pPr>
  </w:style>
  <w:style w:type="character" w:styleId="IntenseEmphasis">
    <w:name w:val="Intense Emphasis"/>
    <w:basedOn w:val="DefaultParagraphFont"/>
    <w:uiPriority w:val="21"/>
    <w:qFormat/>
    <w:rsid w:val="00BE188C"/>
    <w:rPr>
      <w:i/>
      <w:iCs/>
      <w:color w:val="0F4761" w:themeColor="accent1" w:themeShade="BF"/>
    </w:rPr>
  </w:style>
  <w:style w:type="paragraph" w:styleId="IntenseQuote">
    <w:name w:val="Intense Quote"/>
    <w:basedOn w:val="Normal"/>
    <w:next w:val="Normal"/>
    <w:link w:val="IntenseQuoteChar"/>
    <w:uiPriority w:val="30"/>
    <w:qFormat/>
    <w:rsid w:val="00BE1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88C"/>
    <w:rPr>
      <w:i/>
      <w:iCs/>
      <w:color w:val="0F4761" w:themeColor="accent1" w:themeShade="BF"/>
    </w:rPr>
  </w:style>
  <w:style w:type="character" w:styleId="IntenseReference">
    <w:name w:val="Intense Reference"/>
    <w:basedOn w:val="DefaultParagraphFont"/>
    <w:uiPriority w:val="32"/>
    <w:qFormat/>
    <w:rsid w:val="00BE188C"/>
    <w:rPr>
      <w:b/>
      <w:bCs/>
      <w:smallCaps/>
      <w:color w:val="0F4761" w:themeColor="accent1" w:themeShade="BF"/>
      <w:spacing w:val="5"/>
    </w:rPr>
  </w:style>
  <w:style w:type="paragraph" w:customStyle="1" w:styleId="TableHeader">
    <w:name w:val="TableHeader"/>
    <w:rsid w:val="00BE188C"/>
    <w:pPr>
      <w:suppressAutoHyphens/>
      <w:autoSpaceDN w:val="0"/>
      <w:spacing w:before="60" w:after="60" w:line="240" w:lineRule="auto"/>
      <w:ind w:left="57" w:right="57"/>
      <w:jc w:val="center"/>
    </w:pPr>
    <w:rPr>
      <w:rFonts w:ascii="Arial" w:eastAsia="Times New Roman" w:hAnsi="Arial" w:cs="Times New Roman"/>
      <w:b/>
      <w:color w:val="0D0D0D"/>
      <w:kern w:val="0"/>
      <w:lang w:eastAsia="en-GB"/>
      <w14:ligatures w14:val="none"/>
    </w:rPr>
  </w:style>
  <w:style w:type="paragraph" w:customStyle="1" w:styleId="TableRow">
    <w:name w:val="TableRow"/>
    <w:rsid w:val="00BE188C"/>
    <w:pPr>
      <w:suppressAutoHyphens/>
      <w:autoSpaceDN w:val="0"/>
      <w:spacing w:before="60" w:after="60" w:line="240" w:lineRule="auto"/>
      <w:ind w:left="57" w:right="57"/>
    </w:pPr>
    <w:rPr>
      <w:rFonts w:ascii="Arial" w:eastAsia="Times New Roman" w:hAnsi="Arial" w:cs="Times New Roman"/>
      <w:color w:val="0D0D0D"/>
      <w:kern w:val="0"/>
      <w:lang w:eastAsia="en-GB"/>
      <w14:ligatures w14:val="none"/>
    </w:rPr>
  </w:style>
  <w:style w:type="numbering" w:customStyle="1" w:styleId="LFO25">
    <w:name w:val="LFO25"/>
    <w:basedOn w:val="NoList"/>
    <w:rsid w:val="00BE188C"/>
    <w:pPr>
      <w:numPr>
        <w:numId w:val="1"/>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E188C"/>
  </w:style>
  <w:style w:type="paragraph" w:customStyle="1" w:styleId="TableRowCentered">
    <w:name w:val="TableRowCentered"/>
    <w:basedOn w:val="TableRow"/>
    <w:rsid w:val="00BE188C"/>
    <w:pPr>
      <w:jc w:val="center"/>
    </w:pPr>
    <w:rPr>
      <w:szCs w:val="20"/>
    </w:rPr>
  </w:style>
  <w:style w:type="paragraph" w:customStyle="1" w:styleId="Default">
    <w:name w:val="Default"/>
    <w:rsid w:val="00BE188C"/>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numbering" w:customStyle="1" w:styleId="WWOutlineListStyle1">
    <w:name w:val="WW_OutlineListStyle_1"/>
    <w:basedOn w:val="NoList"/>
    <w:rsid w:val="008B13D7"/>
    <w:pPr>
      <w:numPr>
        <w:numId w:val="4"/>
      </w:numPr>
    </w:pPr>
  </w:style>
  <w:style w:type="table" w:styleId="TableGrid">
    <w:name w:val="Table Grid"/>
    <w:basedOn w:val="TableNormal"/>
    <w:uiPriority w:val="39"/>
    <w:rsid w:val="008B13D7"/>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3d3f6d0e56b1bd91942226ec52f3b0cc">
  <xsd:schema xmlns:xsd="http://www.w3.org/2001/XMLSchema" xmlns:xs="http://www.w3.org/2001/XMLSchema" xmlns:p="http://schemas.microsoft.com/office/2006/metadata/properties" xmlns:ns2="a5ecd685-2f89-45d1-8b06-abda264fcf47" xmlns:ns3="a16795d7-89b0-427d-b811-dbe0d2df15f5" xmlns:ns4="3c6552ff-e203-492b-9a4a-86c2b1ce869f" targetNamespace="http://schemas.microsoft.com/office/2006/metadata/properties" ma:root="true" ma:fieldsID="fc1ec692ff6204b3c48ef4c26da634b5" ns2:_="" ns3:_="" ns4:_="">
    <xsd:import namespace="a5ecd685-2f89-45d1-8b06-abda264fcf47"/>
    <xsd:import namespace="a16795d7-89b0-427d-b811-dbe0d2df15f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6A7B1D-B5EB-41B7-BA4A-0D1DEDB2EF9E}" ma:internalName="TaxCatchAll" ma:showField="CatchAllData" ma:web="{a5ecd685-2f89-45d1-8b06-abda264f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6795d7-89b0-427d-b811-dbe0d2df15f5">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73045-F16B-447D-BC7F-F9B5D054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d685-2f89-45d1-8b06-abda264fcf47"/>
    <ds:schemaRef ds:uri="a16795d7-89b0-427d-b811-dbe0d2df15f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731E1-B82E-4656-9C31-CC41E709ED53}">
  <ds:schemaRefs>
    <ds:schemaRef ds:uri="http://schemas.microsoft.com/office/2006/metadata/properties"/>
    <ds:schemaRef ds:uri="http://schemas.microsoft.com/office/infopath/2007/PartnerControls"/>
    <ds:schemaRef ds:uri="a16795d7-89b0-427d-b811-dbe0d2df15f5"/>
    <ds:schemaRef ds:uri="3c6552ff-e203-492b-9a4a-86c2b1ce869f"/>
  </ds:schemaRefs>
</ds:datastoreItem>
</file>

<file path=customXml/itemProps3.xml><?xml version="1.0" encoding="utf-8"?>
<ds:datastoreItem xmlns:ds="http://schemas.openxmlformats.org/officeDocument/2006/customXml" ds:itemID="{12E7032D-27C9-4C3B-9461-CD5C0E626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4620</Words>
  <Characters>24952</Characters>
  <Application>Microsoft Office Word</Application>
  <DocSecurity>0</DocSecurity>
  <Lines>1084</Lines>
  <Paragraphs>603</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Rebecca</dc:creator>
  <cp:keywords/>
  <dc:description/>
  <cp:lastModifiedBy>Wilson, Rebecca</cp:lastModifiedBy>
  <cp:revision>116</cp:revision>
  <dcterms:created xsi:type="dcterms:W3CDTF">2025-11-24T18:09:00Z</dcterms:created>
  <dcterms:modified xsi:type="dcterms:W3CDTF">2025-12-09T12:21:00Z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y fmtid="{D5CDD505-2E9C-101B-9397-08002B2CF9AE}" pid="3" name="MediaServiceImageTags">
    <vt:lpwstr/>
  </property>
</Properties>
</file>